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188E2" w14:textId="77777777" w:rsidR="00C114CE" w:rsidRDefault="00C114CE" w:rsidP="002751E3">
      <w:r>
        <w:object w:dxaOrig="16808" w:dyaOrig="3248" w14:anchorId="7D160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84pt" o:ole="">
            <v:imagedata r:id="rId8" o:title=""/>
          </v:shape>
          <o:OLEObject Type="Embed" ProgID="PBrush" ShapeID="_x0000_i1025" DrawAspect="Content" ObjectID="_1710828889" r:id="rId9"/>
        </w:object>
      </w:r>
      <w:r>
        <w:t xml:space="preserve"> </w:t>
      </w:r>
    </w:p>
    <w:p w14:paraId="239D11C8" w14:textId="77777777" w:rsidR="00FD5610" w:rsidRDefault="00FD5610">
      <w:pPr>
        <w:pStyle w:val="Heading3"/>
        <w:rPr>
          <w:sz w:val="28"/>
          <w:szCs w:val="28"/>
        </w:rPr>
      </w:pPr>
    </w:p>
    <w:p w14:paraId="5BBFEAAA" w14:textId="77777777" w:rsidR="00235168" w:rsidRPr="00235168" w:rsidRDefault="00235168" w:rsidP="005B74B1">
      <w:pPr>
        <w:pStyle w:val="Heading3"/>
        <w:rPr>
          <w:sz w:val="32"/>
          <w:szCs w:val="32"/>
          <w:u w:val="none"/>
        </w:rPr>
      </w:pPr>
      <w:r w:rsidRPr="00235168">
        <w:rPr>
          <w:sz w:val="32"/>
          <w:szCs w:val="32"/>
          <w:u w:val="none"/>
        </w:rPr>
        <w:t xml:space="preserve">Planning Commission </w:t>
      </w:r>
    </w:p>
    <w:p w14:paraId="6C9A60C2" w14:textId="77777777" w:rsidR="005B74B1" w:rsidRPr="00235168" w:rsidRDefault="005B74B1" w:rsidP="005B74B1">
      <w:pPr>
        <w:pStyle w:val="Heading3"/>
        <w:rPr>
          <w:sz w:val="28"/>
          <w:szCs w:val="28"/>
          <w:u w:val="none"/>
        </w:rPr>
      </w:pPr>
      <w:r w:rsidRPr="00235168">
        <w:rPr>
          <w:sz w:val="28"/>
          <w:szCs w:val="28"/>
          <w:u w:val="none"/>
        </w:rPr>
        <w:t xml:space="preserve">STAFF REPORT </w:t>
      </w:r>
    </w:p>
    <w:p w14:paraId="797EECFB" w14:textId="354ACA00" w:rsidR="005B74B1" w:rsidRPr="00235168" w:rsidRDefault="005B74B1" w:rsidP="005B74B1">
      <w:pPr>
        <w:pStyle w:val="Heading3"/>
        <w:rPr>
          <w:sz w:val="28"/>
          <w:szCs w:val="28"/>
          <w:u w:val="none"/>
        </w:rPr>
      </w:pPr>
      <w:r w:rsidRPr="00235168">
        <w:rPr>
          <w:sz w:val="28"/>
          <w:szCs w:val="28"/>
          <w:u w:val="none"/>
        </w:rPr>
        <w:t xml:space="preserve">CASEFILE </w:t>
      </w:r>
      <w:r w:rsidR="00374B12">
        <w:rPr>
          <w:sz w:val="28"/>
          <w:szCs w:val="28"/>
          <w:u w:val="none"/>
        </w:rPr>
        <w:t>22-PA-01</w:t>
      </w:r>
    </w:p>
    <w:p w14:paraId="155658CA" w14:textId="77777777" w:rsidR="005B74B1" w:rsidRPr="00235168" w:rsidRDefault="005B74B1" w:rsidP="005B74B1">
      <w:pPr>
        <w:overflowPunct w:val="0"/>
        <w:autoSpaceDE w:val="0"/>
        <w:autoSpaceDN w:val="0"/>
        <w:adjustRightInd w:val="0"/>
        <w:jc w:val="both"/>
        <w:rPr>
          <w:color w:val="000000"/>
          <w:szCs w:val="20"/>
        </w:rPr>
      </w:pPr>
    </w:p>
    <w:p w14:paraId="21DF342C" w14:textId="6EA9FC48" w:rsidR="00484325" w:rsidRDefault="00484325" w:rsidP="005B74B1">
      <w:pPr>
        <w:overflowPunct w:val="0"/>
        <w:autoSpaceDE w:val="0"/>
        <w:autoSpaceDN w:val="0"/>
        <w:adjustRightInd w:val="0"/>
        <w:jc w:val="both"/>
        <w:rPr>
          <w:b/>
          <w:color w:val="000000"/>
        </w:rPr>
      </w:pPr>
      <w:r w:rsidRPr="007104DA">
        <w:rPr>
          <w:b/>
          <w:bCs/>
          <w:color w:val="000000"/>
          <w:szCs w:val="20"/>
        </w:rPr>
        <w:t>Date:</w:t>
      </w:r>
      <w:r>
        <w:rPr>
          <w:color w:val="000000"/>
          <w:szCs w:val="20"/>
        </w:rPr>
        <w:tab/>
      </w:r>
      <w:r>
        <w:rPr>
          <w:color w:val="000000"/>
          <w:szCs w:val="20"/>
        </w:rPr>
        <w:tab/>
      </w:r>
      <w:r>
        <w:rPr>
          <w:color w:val="000000"/>
          <w:szCs w:val="20"/>
        </w:rPr>
        <w:tab/>
      </w:r>
      <w:r w:rsidR="00374B12">
        <w:rPr>
          <w:color w:val="000000"/>
          <w:szCs w:val="20"/>
        </w:rPr>
        <w:t>April 7, 2022</w:t>
      </w:r>
    </w:p>
    <w:p w14:paraId="008C9E01" w14:textId="77777777" w:rsidR="00484325" w:rsidRDefault="00484325" w:rsidP="005B74B1">
      <w:pPr>
        <w:overflowPunct w:val="0"/>
        <w:autoSpaceDE w:val="0"/>
        <w:autoSpaceDN w:val="0"/>
        <w:adjustRightInd w:val="0"/>
        <w:jc w:val="both"/>
        <w:rPr>
          <w:b/>
          <w:color w:val="000000"/>
        </w:rPr>
      </w:pPr>
    </w:p>
    <w:p w14:paraId="5B2F3ACD" w14:textId="5B12E28E" w:rsidR="005B74B1" w:rsidRDefault="00374B12" w:rsidP="00374B12">
      <w:pPr>
        <w:overflowPunct w:val="0"/>
        <w:autoSpaceDE w:val="0"/>
        <w:autoSpaceDN w:val="0"/>
        <w:adjustRightInd w:val="0"/>
        <w:jc w:val="both"/>
        <w:rPr>
          <w:color w:val="000000"/>
        </w:rPr>
      </w:pPr>
      <w:r>
        <w:rPr>
          <w:b/>
          <w:color w:val="000000"/>
        </w:rPr>
        <w:t>Staff</w:t>
      </w:r>
      <w:r w:rsidR="005B74B1">
        <w:rPr>
          <w:b/>
          <w:color w:val="000000"/>
        </w:rPr>
        <w:t>:</w:t>
      </w:r>
      <w:r w:rsidR="005B74B1" w:rsidRPr="008B74DB">
        <w:rPr>
          <w:color w:val="000000"/>
        </w:rPr>
        <w:tab/>
      </w:r>
      <w:bookmarkStart w:id="0" w:name="_Hlk60146952"/>
      <w:r>
        <w:rPr>
          <w:color w:val="000000"/>
        </w:rPr>
        <w:tab/>
      </w:r>
      <w:r>
        <w:rPr>
          <w:color w:val="000000"/>
        </w:rPr>
        <w:tab/>
        <w:t>Scott Edelman</w:t>
      </w:r>
    </w:p>
    <w:p w14:paraId="7E8A43F7" w14:textId="7DFEEE06" w:rsidR="00374B12" w:rsidRDefault="00374B12" w:rsidP="00374B12">
      <w:pPr>
        <w:overflowPunct w:val="0"/>
        <w:autoSpaceDE w:val="0"/>
        <w:autoSpaceDN w:val="0"/>
        <w:adjustRightInd w:val="0"/>
        <w:jc w:val="both"/>
        <w:rPr>
          <w:color w:val="000000"/>
        </w:rPr>
      </w:pPr>
      <w:r>
        <w:rPr>
          <w:color w:val="000000"/>
        </w:rPr>
        <w:tab/>
      </w:r>
      <w:r>
        <w:rPr>
          <w:color w:val="000000"/>
        </w:rPr>
        <w:tab/>
      </w:r>
      <w:r>
        <w:rPr>
          <w:color w:val="000000"/>
        </w:rPr>
        <w:tab/>
        <w:t>Community Development Director</w:t>
      </w:r>
    </w:p>
    <w:bookmarkEnd w:id="0"/>
    <w:p w14:paraId="0A1BB9D7" w14:textId="77777777" w:rsidR="005B74B1" w:rsidRDefault="005B74B1" w:rsidP="005B74B1">
      <w:pPr>
        <w:overflowPunct w:val="0"/>
        <w:autoSpaceDE w:val="0"/>
        <w:autoSpaceDN w:val="0"/>
        <w:adjustRightInd w:val="0"/>
        <w:jc w:val="both"/>
        <w:rPr>
          <w:color w:val="000000"/>
        </w:rPr>
      </w:pPr>
    </w:p>
    <w:p w14:paraId="64B51125" w14:textId="339227E3" w:rsidR="005B74B1" w:rsidRDefault="00374B12" w:rsidP="0003624A">
      <w:pPr>
        <w:overflowPunct w:val="0"/>
        <w:autoSpaceDE w:val="0"/>
        <w:autoSpaceDN w:val="0"/>
        <w:adjustRightInd w:val="0"/>
        <w:ind w:left="2160" w:hanging="2160"/>
        <w:jc w:val="both"/>
        <w:rPr>
          <w:color w:val="000000"/>
        </w:rPr>
      </w:pPr>
      <w:r>
        <w:rPr>
          <w:b/>
          <w:color w:val="000000"/>
        </w:rPr>
        <w:t>Proposal</w:t>
      </w:r>
      <w:r w:rsidR="005B74B1" w:rsidRPr="008B74DB">
        <w:rPr>
          <w:b/>
          <w:color w:val="000000"/>
        </w:rPr>
        <w:t>:</w:t>
      </w:r>
      <w:r w:rsidR="005B74B1" w:rsidRPr="008B74DB">
        <w:rPr>
          <w:color w:val="000000"/>
        </w:rPr>
        <w:tab/>
      </w:r>
      <w:r>
        <w:rPr>
          <w:color w:val="000000"/>
        </w:rPr>
        <w:t xml:space="preserve">Jefferson County is considering adopting standards that would allow accessory dwelling </w:t>
      </w:r>
      <w:r w:rsidR="003019BD">
        <w:rPr>
          <w:color w:val="000000"/>
        </w:rPr>
        <w:t>units</w:t>
      </w:r>
      <w:r>
        <w:rPr>
          <w:color w:val="000000"/>
        </w:rPr>
        <w:t xml:space="preserve"> on properties in certain zones that meet the criteria of Senate Bill 391.</w:t>
      </w:r>
    </w:p>
    <w:p w14:paraId="37BFAA49" w14:textId="77777777" w:rsidR="00484325" w:rsidRPr="008B74DB" w:rsidRDefault="00484325" w:rsidP="0003624A">
      <w:pPr>
        <w:overflowPunct w:val="0"/>
        <w:autoSpaceDE w:val="0"/>
        <w:autoSpaceDN w:val="0"/>
        <w:adjustRightInd w:val="0"/>
        <w:ind w:left="2160" w:hanging="2160"/>
        <w:jc w:val="both"/>
        <w:rPr>
          <w:color w:val="000000"/>
          <w:szCs w:val="20"/>
        </w:rPr>
      </w:pPr>
    </w:p>
    <w:p w14:paraId="4AB586D9" w14:textId="2C288430" w:rsidR="005B74B1" w:rsidRDefault="005B74B1" w:rsidP="005B74B1">
      <w:pPr>
        <w:overflowPunct w:val="0"/>
        <w:autoSpaceDE w:val="0"/>
        <w:autoSpaceDN w:val="0"/>
        <w:adjustRightInd w:val="0"/>
        <w:jc w:val="center"/>
        <w:rPr>
          <w:color w:val="000000"/>
        </w:rPr>
      </w:pPr>
    </w:p>
    <w:p w14:paraId="2963EFEB" w14:textId="3C2A412C" w:rsidR="00284C29" w:rsidRDefault="00284C29" w:rsidP="005B74B1">
      <w:pPr>
        <w:overflowPunct w:val="0"/>
        <w:autoSpaceDE w:val="0"/>
        <w:autoSpaceDN w:val="0"/>
        <w:adjustRightInd w:val="0"/>
        <w:jc w:val="center"/>
        <w:rPr>
          <w:color w:val="000000"/>
        </w:rPr>
      </w:pPr>
    </w:p>
    <w:p w14:paraId="3C12FDD1" w14:textId="6AA5FDD7" w:rsidR="00284C29" w:rsidRPr="00284C29" w:rsidRDefault="00284C29" w:rsidP="005B74B1">
      <w:pPr>
        <w:overflowPunct w:val="0"/>
        <w:autoSpaceDE w:val="0"/>
        <w:autoSpaceDN w:val="0"/>
        <w:adjustRightInd w:val="0"/>
        <w:jc w:val="center"/>
        <w:rPr>
          <w:b/>
          <w:color w:val="000000"/>
          <w:u w:val="single"/>
        </w:rPr>
      </w:pPr>
      <w:r w:rsidRPr="00284C29">
        <w:rPr>
          <w:b/>
          <w:color w:val="000000"/>
          <w:u w:val="single"/>
        </w:rPr>
        <w:t>SUMMARY</w:t>
      </w:r>
    </w:p>
    <w:p w14:paraId="6944B020" w14:textId="77777777" w:rsidR="0065146E" w:rsidRDefault="0065146E" w:rsidP="003741FA">
      <w:pPr>
        <w:overflowPunct w:val="0"/>
        <w:autoSpaceDE w:val="0"/>
        <w:autoSpaceDN w:val="0"/>
        <w:adjustRightInd w:val="0"/>
        <w:rPr>
          <w:color w:val="000000"/>
        </w:rPr>
      </w:pPr>
    </w:p>
    <w:p w14:paraId="7D081970" w14:textId="666BF1CC" w:rsidR="00284C29" w:rsidRDefault="003741FA" w:rsidP="003741FA">
      <w:pPr>
        <w:overflowPunct w:val="0"/>
        <w:autoSpaceDE w:val="0"/>
        <w:autoSpaceDN w:val="0"/>
        <w:adjustRightInd w:val="0"/>
        <w:rPr>
          <w:color w:val="000000"/>
        </w:rPr>
      </w:pPr>
      <w:r>
        <w:rPr>
          <w:color w:val="000000"/>
        </w:rPr>
        <w:t>In 2021 the Oregon Legislature passed Senate Bill 391</w:t>
      </w:r>
      <w:r w:rsidR="003019BD">
        <w:rPr>
          <w:color w:val="000000"/>
        </w:rPr>
        <w:t xml:space="preserve"> (SB 391)</w:t>
      </w:r>
      <w:r>
        <w:rPr>
          <w:color w:val="000000"/>
        </w:rPr>
        <w:t xml:space="preserve">, authorizing counties to adopt code language to permit </w:t>
      </w:r>
      <w:r w:rsidR="003019BD">
        <w:rPr>
          <w:color w:val="000000"/>
        </w:rPr>
        <w:t>accessory dwelling units (</w:t>
      </w:r>
      <w:r>
        <w:rPr>
          <w:color w:val="000000"/>
        </w:rPr>
        <w:t>ADUs</w:t>
      </w:r>
      <w:r w:rsidR="003019BD">
        <w:rPr>
          <w:color w:val="000000"/>
        </w:rPr>
        <w:t>)</w:t>
      </w:r>
      <w:r>
        <w:rPr>
          <w:color w:val="000000"/>
        </w:rPr>
        <w:t xml:space="preserve"> on lots meeting certain minimum requirements in “areas zoned for rural residential use.”  </w:t>
      </w:r>
      <w:r w:rsidR="005F4180">
        <w:rPr>
          <w:color w:val="000000"/>
        </w:rPr>
        <w:t xml:space="preserve">The legislation was formalized in Oregon Revised Statute (ORS) 215.495.  </w:t>
      </w:r>
      <w:r>
        <w:rPr>
          <w:color w:val="000000"/>
        </w:rPr>
        <w:t xml:space="preserve">This applies to the following county zones in Chapter 3 of the </w:t>
      </w:r>
      <w:r w:rsidR="0079576C">
        <w:rPr>
          <w:color w:val="000000"/>
        </w:rPr>
        <w:t>Jefferson County Zoning Ordinance</w:t>
      </w:r>
      <w:r>
        <w:rPr>
          <w:color w:val="000000"/>
        </w:rPr>
        <w:t>:</w:t>
      </w:r>
    </w:p>
    <w:p w14:paraId="706CA8B6" w14:textId="0BA5B5DD" w:rsidR="003741FA" w:rsidRDefault="003741FA" w:rsidP="003741FA">
      <w:pPr>
        <w:overflowPunct w:val="0"/>
        <w:autoSpaceDE w:val="0"/>
        <w:autoSpaceDN w:val="0"/>
        <w:adjustRightInd w:val="0"/>
        <w:rPr>
          <w:color w:val="000000"/>
        </w:rPr>
      </w:pPr>
    </w:p>
    <w:p w14:paraId="6F3EA258" w14:textId="5981D399" w:rsidR="003741FA" w:rsidRDefault="003741FA" w:rsidP="003741FA">
      <w:pPr>
        <w:overflowPunct w:val="0"/>
        <w:autoSpaceDE w:val="0"/>
        <w:autoSpaceDN w:val="0"/>
        <w:adjustRightInd w:val="0"/>
        <w:rPr>
          <w:color w:val="000000"/>
        </w:rPr>
      </w:pPr>
      <w:r>
        <w:rPr>
          <w:color w:val="000000"/>
        </w:rPr>
        <w:t>Section 304</w:t>
      </w:r>
      <w:r w:rsidR="0079576C">
        <w:rPr>
          <w:color w:val="000000"/>
        </w:rPr>
        <w:t xml:space="preserve"> – Rural Residential (RR-2, RR-5, RR-10, RR-20)</w:t>
      </w:r>
    </w:p>
    <w:p w14:paraId="649F814D" w14:textId="2858D323" w:rsidR="0079576C" w:rsidRDefault="0079576C" w:rsidP="003741FA">
      <w:pPr>
        <w:overflowPunct w:val="0"/>
        <w:autoSpaceDE w:val="0"/>
        <w:autoSpaceDN w:val="0"/>
        <w:adjustRightInd w:val="0"/>
        <w:rPr>
          <w:color w:val="000000"/>
        </w:rPr>
      </w:pPr>
      <w:r>
        <w:rPr>
          <w:color w:val="000000"/>
        </w:rPr>
        <w:t>Section 305 – Service Community (SC)</w:t>
      </w:r>
    </w:p>
    <w:p w14:paraId="72A8AA92" w14:textId="6496A948" w:rsidR="0079576C" w:rsidRDefault="0079576C" w:rsidP="003741FA">
      <w:pPr>
        <w:overflowPunct w:val="0"/>
        <w:autoSpaceDE w:val="0"/>
        <w:autoSpaceDN w:val="0"/>
        <w:adjustRightInd w:val="0"/>
        <w:rPr>
          <w:color w:val="000000"/>
        </w:rPr>
      </w:pPr>
      <w:r>
        <w:rPr>
          <w:color w:val="000000"/>
        </w:rPr>
        <w:t>Section 306 – Existing Rural Development (ERD)</w:t>
      </w:r>
    </w:p>
    <w:p w14:paraId="02E915D0" w14:textId="0F48EAEC" w:rsidR="0079576C" w:rsidRDefault="0079576C" w:rsidP="003741FA">
      <w:pPr>
        <w:overflowPunct w:val="0"/>
        <w:autoSpaceDE w:val="0"/>
        <w:autoSpaceDN w:val="0"/>
        <w:adjustRightInd w:val="0"/>
        <w:rPr>
          <w:color w:val="000000"/>
        </w:rPr>
      </w:pPr>
      <w:r>
        <w:rPr>
          <w:color w:val="000000"/>
        </w:rPr>
        <w:t>*Section 318 – Crooked River Ranch Residential (CRRR)</w:t>
      </w:r>
    </w:p>
    <w:p w14:paraId="41E54E1A" w14:textId="6C2945B5" w:rsidR="0079576C" w:rsidRDefault="0079576C" w:rsidP="003741FA">
      <w:pPr>
        <w:overflowPunct w:val="0"/>
        <w:autoSpaceDE w:val="0"/>
        <w:autoSpaceDN w:val="0"/>
        <w:adjustRightInd w:val="0"/>
        <w:rPr>
          <w:color w:val="000000"/>
        </w:rPr>
      </w:pPr>
      <w:r>
        <w:rPr>
          <w:color w:val="000000"/>
        </w:rPr>
        <w:t>*Section 319 – Three Rivers Recreation Area Zone (TRRA)</w:t>
      </w:r>
    </w:p>
    <w:p w14:paraId="548C26BA" w14:textId="24F7607C" w:rsidR="0079576C" w:rsidRDefault="0079576C" w:rsidP="003741FA">
      <w:pPr>
        <w:overflowPunct w:val="0"/>
        <w:autoSpaceDE w:val="0"/>
        <w:autoSpaceDN w:val="0"/>
        <w:adjustRightInd w:val="0"/>
        <w:rPr>
          <w:color w:val="000000"/>
        </w:rPr>
      </w:pPr>
      <w:r>
        <w:rPr>
          <w:color w:val="000000"/>
        </w:rPr>
        <w:t>Section 345 – Blue Lake Zone (BL)</w:t>
      </w:r>
    </w:p>
    <w:p w14:paraId="413D3D6E" w14:textId="3AAA7BDA" w:rsidR="0079576C" w:rsidRDefault="0079576C" w:rsidP="003741FA">
      <w:pPr>
        <w:overflowPunct w:val="0"/>
        <w:autoSpaceDE w:val="0"/>
        <w:autoSpaceDN w:val="0"/>
        <w:adjustRightInd w:val="0"/>
        <w:rPr>
          <w:color w:val="000000"/>
        </w:rPr>
      </w:pPr>
    </w:p>
    <w:p w14:paraId="395E3083" w14:textId="231BABD8" w:rsidR="0079576C" w:rsidRPr="0079576C" w:rsidRDefault="0079576C" w:rsidP="003741FA">
      <w:pPr>
        <w:overflowPunct w:val="0"/>
        <w:autoSpaceDE w:val="0"/>
        <w:autoSpaceDN w:val="0"/>
        <w:adjustRightInd w:val="0"/>
        <w:rPr>
          <w:i/>
          <w:color w:val="000000"/>
        </w:rPr>
      </w:pPr>
      <w:r w:rsidRPr="0079576C">
        <w:rPr>
          <w:i/>
          <w:color w:val="000000"/>
        </w:rPr>
        <w:t xml:space="preserve">*Note:  this current proposal does not include the unincorporated communities of Crooked River Ranch or Three Rivers (Section 318 and 319).  The county intends to work with these communities to conduct outreach with </w:t>
      </w:r>
      <w:r w:rsidR="005121A4">
        <w:rPr>
          <w:i/>
          <w:color w:val="000000"/>
        </w:rPr>
        <w:t xml:space="preserve">and gather information/input from </w:t>
      </w:r>
      <w:r w:rsidRPr="0079576C">
        <w:rPr>
          <w:i/>
          <w:color w:val="000000"/>
        </w:rPr>
        <w:t>the residents before determining how to proceed in these areas.</w:t>
      </w:r>
    </w:p>
    <w:p w14:paraId="3AFFD4CD" w14:textId="4B0E6CBC" w:rsidR="0079576C" w:rsidRDefault="0079576C" w:rsidP="003741FA">
      <w:pPr>
        <w:overflowPunct w:val="0"/>
        <w:autoSpaceDE w:val="0"/>
        <w:autoSpaceDN w:val="0"/>
        <w:adjustRightInd w:val="0"/>
        <w:rPr>
          <w:color w:val="000000"/>
        </w:rPr>
      </w:pPr>
    </w:p>
    <w:p w14:paraId="036E4C55" w14:textId="6A36284E" w:rsidR="0079576C" w:rsidRDefault="003019BD" w:rsidP="003741FA">
      <w:pPr>
        <w:overflowPunct w:val="0"/>
        <w:autoSpaceDE w:val="0"/>
        <w:autoSpaceDN w:val="0"/>
        <w:adjustRightInd w:val="0"/>
        <w:rPr>
          <w:color w:val="000000"/>
        </w:rPr>
      </w:pPr>
      <w:r>
        <w:rPr>
          <w:color w:val="000000"/>
        </w:rPr>
        <w:lastRenderedPageBreak/>
        <w:t>The following findings are intended to demonstrate compliance with the minimum location, lot dimension, and site development standards prescribed in SB 391.  The county cannot adopt more lenient standards but does have the ability to increase the requirements, restrict ADUs to specific areas, adopt more stringent standards, or otherwise limit development of ADUs in all or any portion of the county.</w:t>
      </w:r>
    </w:p>
    <w:p w14:paraId="4CB8EF27" w14:textId="77777777" w:rsidR="00284C29" w:rsidRPr="00B36BBA" w:rsidRDefault="00284C29" w:rsidP="005B74B1">
      <w:pPr>
        <w:overflowPunct w:val="0"/>
        <w:autoSpaceDE w:val="0"/>
        <w:autoSpaceDN w:val="0"/>
        <w:adjustRightInd w:val="0"/>
        <w:jc w:val="center"/>
        <w:rPr>
          <w:color w:val="000000"/>
        </w:rPr>
      </w:pPr>
    </w:p>
    <w:p w14:paraId="3167BA98" w14:textId="77777777" w:rsidR="006933B8" w:rsidRDefault="006933B8" w:rsidP="005B74B1">
      <w:pPr>
        <w:overflowPunct w:val="0"/>
        <w:autoSpaceDE w:val="0"/>
        <w:autoSpaceDN w:val="0"/>
        <w:adjustRightInd w:val="0"/>
        <w:jc w:val="both"/>
        <w:rPr>
          <w:b/>
          <w:u w:val="single"/>
        </w:rPr>
      </w:pPr>
    </w:p>
    <w:p w14:paraId="736E18AE" w14:textId="368CCDFE" w:rsidR="005B74B1" w:rsidRDefault="005B74B1" w:rsidP="00670DAB">
      <w:pPr>
        <w:overflowPunct w:val="0"/>
        <w:autoSpaceDE w:val="0"/>
        <w:autoSpaceDN w:val="0"/>
        <w:adjustRightInd w:val="0"/>
        <w:jc w:val="center"/>
        <w:rPr>
          <w:bCs/>
        </w:rPr>
      </w:pPr>
      <w:r w:rsidRPr="003E21A3">
        <w:rPr>
          <w:b/>
          <w:u w:val="single"/>
        </w:rPr>
        <w:t>APPLICABLE STANDARDS</w:t>
      </w:r>
    </w:p>
    <w:p w14:paraId="3BBD1EF8" w14:textId="1A60DE46" w:rsidR="00370BA7" w:rsidRDefault="00370BA7" w:rsidP="005B74B1">
      <w:pPr>
        <w:overflowPunct w:val="0"/>
        <w:autoSpaceDE w:val="0"/>
        <w:autoSpaceDN w:val="0"/>
        <w:adjustRightInd w:val="0"/>
        <w:jc w:val="both"/>
        <w:rPr>
          <w:bCs/>
        </w:rPr>
      </w:pPr>
    </w:p>
    <w:p w14:paraId="113BD543" w14:textId="54B26DF0" w:rsidR="00370BA7" w:rsidRDefault="00D61DFA" w:rsidP="005B74B1">
      <w:pPr>
        <w:overflowPunct w:val="0"/>
        <w:autoSpaceDE w:val="0"/>
        <w:autoSpaceDN w:val="0"/>
        <w:adjustRightInd w:val="0"/>
        <w:jc w:val="both"/>
        <w:rPr>
          <w:bCs/>
          <w:color w:val="000000"/>
        </w:rPr>
      </w:pPr>
      <w:r>
        <w:rPr>
          <w:bCs/>
          <w:color w:val="000000"/>
        </w:rPr>
        <w:t>I.</w:t>
      </w:r>
      <w:r>
        <w:rPr>
          <w:bCs/>
          <w:color w:val="000000"/>
        </w:rPr>
        <w:tab/>
      </w:r>
      <w:r w:rsidR="005F4180">
        <w:rPr>
          <w:bCs/>
          <w:color w:val="000000"/>
        </w:rPr>
        <w:t>Oregon Revised Statute (ORS) 215.495</w:t>
      </w:r>
    </w:p>
    <w:p w14:paraId="291B50C4" w14:textId="2A61173A" w:rsidR="00D61DFA" w:rsidRDefault="00D61DFA" w:rsidP="005B74B1">
      <w:pPr>
        <w:overflowPunct w:val="0"/>
        <w:autoSpaceDE w:val="0"/>
        <w:autoSpaceDN w:val="0"/>
        <w:adjustRightInd w:val="0"/>
        <w:jc w:val="both"/>
        <w:rPr>
          <w:bCs/>
          <w:color w:val="000000"/>
        </w:rPr>
      </w:pPr>
      <w:r>
        <w:rPr>
          <w:bCs/>
          <w:color w:val="000000"/>
        </w:rPr>
        <w:t>II.</w:t>
      </w:r>
      <w:r>
        <w:rPr>
          <w:bCs/>
          <w:color w:val="000000"/>
        </w:rPr>
        <w:tab/>
        <w:t>Oregon Statewide Planning Goals</w:t>
      </w:r>
    </w:p>
    <w:p w14:paraId="5EE4BEFD" w14:textId="19E19112" w:rsidR="00D61DFA" w:rsidRDefault="00D61DFA" w:rsidP="005B74B1">
      <w:pPr>
        <w:overflowPunct w:val="0"/>
        <w:autoSpaceDE w:val="0"/>
        <w:autoSpaceDN w:val="0"/>
        <w:adjustRightInd w:val="0"/>
        <w:jc w:val="both"/>
        <w:rPr>
          <w:bCs/>
          <w:color w:val="000000"/>
        </w:rPr>
      </w:pPr>
      <w:r>
        <w:rPr>
          <w:bCs/>
          <w:color w:val="000000"/>
        </w:rPr>
        <w:t xml:space="preserve">III.  </w:t>
      </w:r>
      <w:r>
        <w:rPr>
          <w:bCs/>
          <w:color w:val="000000"/>
        </w:rPr>
        <w:tab/>
        <w:t xml:space="preserve">Jefferson County </w:t>
      </w:r>
      <w:r w:rsidR="00C90D17">
        <w:rPr>
          <w:bCs/>
          <w:color w:val="000000"/>
        </w:rPr>
        <w:t>Zoning Ordinance, Chapter 8 Amendments</w:t>
      </w:r>
    </w:p>
    <w:p w14:paraId="71DD444D" w14:textId="7C655BFF" w:rsidR="009170F2" w:rsidRDefault="009170F2" w:rsidP="005B74B1">
      <w:pPr>
        <w:overflowPunct w:val="0"/>
        <w:autoSpaceDE w:val="0"/>
        <w:autoSpaceDN w:val="0"/>
        <w:adjustRightInd w:val="0"/>
        <w:jc w:val="both"/>
        <w:rPr>
          <w:b/>
          <w:color w:val="000000"/>
          <w:u w:val="single"/>
        </w:rPr>
      </w:pPr>
    </w:p>
    <w:p w14:paraId="5787422B" w14:textId="77777777" w:rsidR="0065146E" w:rsidRDefault="0065146E" w:rsidP="005B74B1">
      <w:pPr>
        <w:overflowPunct w:val="0"/>
        <w:autoSpaceDE w:val="0"/>
        <w:autoSpaceDN w:val="0"/>
        <w:adjustRightInd w:val="0"/>
        <w:jc w:val="both"/>
        <w:rPr>
          <w:b/>
          <w:color w:val="000000"/>
          <w:u w:val="single"/>
        </w:rPr>
      </w:pPr>
    </w:p>
    <w:p w14:paraId="156C1D4A" w14:textId="117CE34F" w:rsidR="005B74B1" w:rsidRDefault="005B74B1" w:rsidP="009170F2">
      <w:pPr>
        <w:overflowPunct w:val="0"/>
        <w:autoSpaceDE w:val="0"/>
        <w:autoSpaceDN w:val="0"/>
        <w:adjustRightInd w:val="0"/>
        <w:jc w:val="center"/>
        <w:rPr>
          <w:b/>
          <w:color w:val="000000"/>
          <w:szCs w:val="20"/>
          <w:u w:val="single"/>
        </w:rPr>
      </w:pPr>
      <w:r>
        <w:rPr>
          <w:b/>
          <w:color w:val="000000"/>
          <w:u w:val="single"/>
        </w:rPr>
        <w:t>FINDING</w:t>
      </w:r>
      <w:r w:rsidR="009170F2">
        <w:rPr>
          <w:b/>
          <w:color w:val="000000"/>
          <w:u w:val="single"/>
        </w:rPr>
        <w:t>S</w:t>
      </w:r>
      <w:r>
        <w:rPr>
          <w:b/>
          <w:color w:val="000000"/>
          <w:u w:val="single"/>
        </w:rPr>
        <w:t xml:space="preserve"> OF FACT</w:t>
      </w:r>
    </w:p>
    <w:p w14:paraId="18C78390" w14:textId="77777777" w:rsidR="00F360B0" w:rsidRDefault="00F360B0" w:rsidP="005B74B1">
      <w:pPr>
        <w:overflowPunct w:val="0"/>
        <w:autoSpaceDE w:val="0"/>
        <w:autoSpaceDN w:val="0"/>
        <w:adjustRightInd w:val="0"/>
        <w:jc w:val="both"/>
        <w:rPr>
          <w:color w:val="000000"/>
          <w:szCs w:val="20"/>
        </w:rPr>
      </w:pPr>
    </w:p>
    <w:p w14:paraId="46387DAB" w14:textId="54D790BD" w:rsidR="003019BD" w:rsidRDefault="003019BD" w:rsidP="00917711">
      <w:pPr>
        <w:rPr>
          <w:b/>
          <w:bCs/>
        </w:rPr>
      </w:pPr>
      <w:r>
        <w:rPr>
          <w:b/>
          <w:bCs/>
        </w:rPr>
        <w:t>I.</w:t>
      </w:r>
      <w:r>
        <w:rPr>
          <w:b/>
          <w:bCs/>
        </w:rPr>
        <w:tab/>
      </w:r>
      <w:r w:rsidR="005F4180">
        <w:rPr>
          <w:b/>
          <w:bCs/>
        </w:rPr>
        <w:t>Oregon Revised Statute (ORS) 215.495</w:t>
      </w:r>
    </w:p>
    <w:p w14:paraId="2C8E01DD" w14:textId="77777777" w:rsidR="005F4180" w:rsidRDefault="005F4180" w:rsidP="005F4180">
      <w:pPr>
        <w:rPr>
          <w:b/>
          <w:bCs/>
        </w:rPr>
      </w:pPr>
    </w:p>
    <w:p w14:paraId="4BE241F8" w14:textId="58616C8B" w:rsidR="005F4180" w:rsidRPr="007B3A4A" w:rsidRDefault="005F4180" w:rsidP="005F4180">
      <w:pPr>
        <w:rPr>
          <w:rFonts w:ascii="Calibri" w:hAnsi="Calibri" w:cs="Calibri"/>
          <w:sz w:val="22"/>
          <w:szCs w:val="22"/>
          <w:lang w:eastAsia="en-US"/>
        </w:rPr>
      </w:pPr>
      <w:r w:rsidRPr="007B3A4A">
        <w:rPr>
          <w:b/>
          <w:bCs/>
        </w:rPr>
        <w:t>215.495 Accessory dwelling units in rural residential zones.</w:t>
      </w:r>
      <w:r w:rsidRPr="007B3A4A">
        <w:t> (1) As used in this section:</w:t>
      </w:r>
    </w:p>
    <w:p w14:paraId="4209A1D5" w14:textId="77777777" w:rsidR="005F4180" w:rsidRPr="007B3A4A" w:rsidRDefault="005F4180" w:rsidP="005F4180">
      <w:pPr>
        <w:rPr>
          <w:rFonts w:ascii="Calibri" w:hAnsi="Calibri" w:cs="Calibri"/>
          <w:sz w:val="22"/>
          <w:szCs w:val="22"/>
        </w:rPr>
      </w:pPr>
      <w:r w:rsidRPr="007B3A4A">
        <w:t>      (a) “Accessory dwelling unit” has the meaning given that term in ORS 215.501.</w:t>
      </w:r>
    </w:p>
    <w:p w14:paraId="069240F3" w14:textId="77777777" w:rsidR="005F4180" w:rsidRPr="007B3A4A" w:rsidRDefault="005F4180" w:rsidP="005F4180">
      <w:pPr>
        <w:rPr>
          <w:rFonts w:ascii="Calibri" w:hAnsi="Calibri" w:cs="Calibri"/>
          <w:sz w:val="22"/>
          <w:szCs w:val="22"/>
        </w:rPr>
      </w:pPr>
      <w:r w:rsidRPr="007B3A4A">
        <w:t>      (b) “Area zoned for rural residential use” has the meaning given that term in ORS 215.501.</w:t>
      </w:r>
    </w:p>
    <w:p w14:paraId="33D25237" w14:textId="27C47A3D" w:rsidR="005F4180" w:rsidRPr="007B3A4A" w:rsidRDefault="005F4180" w:rsidP="005F4180">
      <w:r w:rsidRPr="007B3A4A">
        <w:t>      (c) “Single-family dwelling” has the meaning given that term in ORS 215.501.</w:t>
      </w:r>
    </w:p>
    <w:p w14:paraId="37924DC1" w14:textId="33197807" w:rsidR="005F4180" w:rsidRPr="007B3A4A" w:rsidRDefault="005F4180" w:rsidP="005F4180"/>
    <w:p w14:paraId="731E7C0E" w14:textId="223573FF" w:rsidR="005F4180" w:rsidRPr="007B3A4A" w:rsidRDefault="005F4180" w:rsidP="005F4180">
      <w:pPr>
        <w:rPr>
          <w:b/>
        </w:rPr>
      </w:pPr>
      <w:r w:rsidRPr="007B3A4A">
        <w:rPr>
          <w:b/>
        </w:rPr>
        <w:t xml:space="preserve">FINDING 1: </w:t>
      </w:r>
    </w:p>
    <w:p w14:paraId="77AFB801" w14:textId="31CEAA57" w:rsidR="005F4180" w:rsidRPr="006C5C3F" w:rsidRDefault="005F4180" w:rsidP="005F4180">
      <w:pPr>
        <w:rPr>
          <w:b/>
        </w:rPr>
      </w:pPr>
      <w:r w:rsidRPr="006C5C3F">
        <w:rPr>
          <w:b/>
        </w:rPr>
        <w:t xml:space="preserve">The proposed amendments include these definitions as stated above, </w:t>
      </w:r>
      <w:r w:rsidR="006C5C3F" w:rsidRPr="006C5C3F">
        <w:rPr>
          <w:b/>
        </w:rPr>
        <w:t>with direct</w:t>
      </w:r>
      <w:r w:rsidRPr="006C5C3F">
        <w:rPr>
          <w:b/>
        </w:rPr>
        <w:t xml:space="preserve"> references to ORS 215.501.  Therefore, the proposed amendments are consistent with these definitions.</w:t>
      </w:r>
    </w:p>
    <w:p w14:paraId="4EF3FE93" w14:textId="77777777" w:rsidR="005F4180" w:rsidRPr="007B3A4A" w:rsidRDefault="005F4180" w:rsidP="005F4180">
      <w:pPr>
        <w:rPr>
          <w:rFonts w:ascii="Calibri" w:hAnsi="Calibri" w:cs="Calibri"/>
          <w:b/>
          <w:sz w:val="22"/>
          <w:szCs w:val="22"/>
        </w:rPr>
      </w:pPr>
    </w:p>
    <w:p w14:paraId="26A8DAB4" w14:textId="77777777" w:rsidR="005F4180" w:rsidRPr="007B3A4A" w:rsidRDefault="005F4180" w:rsidP="005F4180">
      <w:pPr>
        <w:rPr>
          <w:rFonts w:ascii="Calibri" w:hAnsi="Calibri" w:cs="Calibri"/>
          <w:sz w:val="22"/>
          <w:szCs w:val="22"/>
        </w:rPr>
      </w:pPr>
      <w:r w:rsidRPr="007B3A4A">
        <w:t>      (2) Consistent with a county’s comprehensive plan, a county may allow an owner of a lot or parcel within an area zoned for rural residential use to construct one accessory dwelling unit on the lot or parcel, provided:</w:t>
      </w:r>
    </w:p>
    <w:p w14:paraId="36DAF33F" w14:textId="77777777" w:rsidR="005F4180" w:rsidRPr="007B3A4A" w:rsidRDefault="005F4180" w:rsidP="005F4180">
      <w:pPr>
        <w:rPr>
          <w:rFonts w:ascii="Calibri" w:hAnsi="Calibri" w:cs="Calibri"/>
          <w:sz w:val="22"/>
          <w:szCs w:val="22"/>
        </w:rPr>
      </w:pPr>
      <w:r w:rsidRPr="007B3A4A">
        <w:t>      (a) The lot or parcel is not located within an area designated as an urban reserve as defined in ORS 195.137;</w:t>
      </w:r>
    </w:p>
    <w:p w14:paraId="08B29926" w14:textId="77777777" w:rsidR="005F4180" w:rsidRPr="007B3A4A" w:rsidRDefault="005F4180" w:rsidP="005F4180">
      <w:pPr>
        <w:rPr>
          <w:rFonts w:ascii="Calibri" w:hAnsi="Calibri" w:cs="Calibri"/>
          <w:sz w:val="22"/>
          <w:szCs w:val="22"/>
        </w:rPr>
      </w:pPr>
      <w:r w:rsidRPr="007B3A4A">
        <w:t>      (b) The lot or parcel is at least two acres in size;</w:t>
      </w:r>
    </w:p>
    <w:p w14:paraId="46A9F170" w14:textId="77777777" w:rsidR="005F4180" w:rsidRPr="007B3A4A" w:rsidRDefault="005F4180" w:rsidP="005F4180">
      <w:pPr>
        <w:rPr>
          <w:rFonts w:ascii="Calibri" w:hAnsi="Calibri" w:cs="Calibri"/>
          <w:sz w:val="22"/>
          <w:szCs w:val="22"/>
        </w:rPr>
      </w:pPr>
      <w:r w:rsidRPr="007B3A4A">
        <w:t>      (c) One single-family dwelling is sited on the lot or parcel;</w:t>
      </w:r>
    </w:p>
    <w:p w14:paraId="00A03D18" w14:textId="77777777" w:rsidR="005F4180" w:rsidRPr="007B3A4A" w:rsidRDefault="005F4180" w:rsidP="005F4180">
      <w:pPr>
        <w:rPr>
          <w:rFonts w:ascii="Calibri" w:hAnsi="Calibri" w:cs="Calibri"/>
          <w:sz w:val="22"/>
          <w:szCs w:val="22"/>
        </w:rPr>
      </w:pPr>
      <w:r w:rsidRPr="007B3A4A">
        <w:t>      (d) The existing single-family dwelling property on the lot or parcel is not subject to an order declaring it a nuisance or subject to any pending action under ORS 105.550 to 105.600;</w:t>
      </w:r>
    </w:p>
    <w:p w14:paraId="1E54684F" w14:textId="77777777" w:rsidR="005F4180" w:rsidRPr="007B3A4A" w:rsidRDefault="005F4180" w:rsidP="005F4180">
      <w:pPr>
        <w:rPr>
          <w:rFonts w:ascii="Calibri" w:hAnsi="Calibri" w:cs="Calibri"/>
          <w:sz w:val="22"/>
          <w:szCs w:val="22"/>
        </w:rPr>
      </w:pPr>
      <w:r w:rsidRPr="007B3A4A">
        <w:t>      (e) The accessory dwelling unit will comply with all applicable laws and regulations relating to sanitation and wastewater disposal and treatment;</w:t>
      </w:r>
    </w:p>
    <w:p w14:paraId="27326715" w14:textId="77777777" w:rsidR="005F4180" w:rsidRPr="007B3A4A" w:rsidRDefault="005F4180" w:rsidP="005F4180">
      <w:pPr>
        <w:rPr>
          <w:rFonts w:ascii="Calibri" w:hAnsi="Calibri" w:cs="Calibri"/>
          <w:sz w:val="22"/>
          <w:szCs w:val="22"/>
        </w:rPr>
      </w:pPr>
      <w:r w:rsidRPr="007B3A4A">
        <w:t>      (f) The accessory dwelling unit will not include more than 900 square feet of useable floor area;</w:t>
      </w:r>
    </w:p>
    <w:p w14:paraId="53A96170" w14:textId="77777777" w:rsidR="005F4180" w:rsidRPr="007B3A4A" w:rsidRDefault="005F4180" w:rsidP="005F4180">
      <w:pPr>
        <w:rPr>
          <w:rFonts w:ascii="Calibri" w:hAnsi="Calibri" w:cs="Calibri"/>
          <w:sz w:val="22"/>
          <w:szCs w:val="22"/>
        </w:rPr>
      </w:pPr>
      <w:r w:rsidRPr="007B3A4A">
        <w:t>      (g) The accessory dwelling unit will be located no farther than 100 feet from the existing single-family dwelling;</w:t>
      </w:r>
    </w:p>
    <w:p w14:paraId="240BEEDA" w14:textId="77777777" w:rsidR="005F4180" w:rsidRPr="007B3A4A" w:rsidRDefault="005F4180" w:rsidP="005F4180">
      <w:pPr>
        <w:rPr>
          <w:rFonts w:ascii="Calibri" w:hAnsi="Calibri" w:cs="Calibri"/>
          <w:sz w:val="22"/>
          <w:szCs w:val="22"/>
        </w:rPr>
      </w:pPr>
      <w:r w:rsidRPr="007B3A4A">
        <w:lastRenderedPageBreak/>
        <w:t>      (h) If the water supply source for the accessory dwelling unit or associated lands or gardens will be a well using water under ORS 537.545 (1</w:t>
      </w:r>
      <w:proofErr w:type="gramStart"/>
      <w:r w:rsidRPr="007B3A4A">
        <w:t>)(</w:t>
      </w:r>
      <w:proofErr w:type="gramEnd"/>
      <w:r w:rsidRPr="007B3A4A">
        <w:t>b) or (d), no portion of the lot or parcel is within an area in which new or existing ground water uses under ORS 537.545 (1)(b) or (d) have been restricted by the Water Resources Commission;</w:t>
      </w:r>
    </w:p>
    <w:p w14:paraId="78D6E53A" w14:textId="77777777" w:rsidR="005F4180" w:rsidRPr="007B3A4A" w:rsidRDefault="005F4180" w:rsidP="005F4180">
      <w:pPr>
        <w:rPr>
          <w:rFonts w:ascii="Calibri" w:hAnsi="Calibri" w:cs="Calibri"/>
          <w:sz w:val="22"/>
          <w:szCs w:val="22"/>
        </w:rPr>
      </w:pPr>
      <w:r w:rsidRPr="007B3A4A">
        <w:t>      (</w:t>
      </w:r>
      <w:proofErr w:type="spellStart"/>
      <w:r w:rsidRPr="007B3A4A">
        <w:t>i</w:t>
      </w:r>
      <w:proofErr w:type="spellEnd"/>
      <w:r w:rsidRPr="007B3A4A">
        <w:t>) No portion of the lot or parcel is within a designated area of critical state concern;</w:t>
      </w:r>
    </w:p>
    <w:p w14:paraId="6724DF93" w14:textId="77777777" w:rsidR="005F4180" w:rsidRPr="007B3A4A" w:rsidRDefault="005F4180" w:rsidP="005F4180">
      <w:pPr>
        <w:rPr>
          <w:rFonts w:ascii="Calibri" w:hAnsi="Calibri" w:cs="Calibri"/>
          <w:sz w:val="22"/>
          <w:szCs w:val="22"/>
        </w:rPr>
      </w:pPr>
      <w:r w:rsidRPr="007B3A4A">
        <w:t>      (j) The lot or parcel is served by a fire protection service provider with professionals who have received training or certification described in ORS 181A.410;</w:t>
      </w:r>
    </w:p>
    <w:p w14:paraId="0CA1EDD6" w14:textId="77777777" w:rsidR="005F4180" w:rsidRPr="007B3A4A" w:rsidRDefault="005F4180" w:rsidP="005F4180">
      <w:pPr>
        <w:rPr>
          <w:rFonts w:ascii="Calibri" w:hAnsi="Calibri" w:cs="Calibri"/>
          <w:sz w:val="22"/>
          <w:szCs w:val="22"/>
        </w:rPr>
      </w:pPr>
      <w:r w:rsidRPr="007B3A4A">
        <w:t>      (k) The lot or parcel and accessory dwelling unit comply with rules of the State Board of Forestry under ORS 477.015, 477.025 and 477.027;</w:t>
      </w:r>
    </w:p>
    <w:p w14:paraId="3B2DDFA4" w14:textId="77777777" w:rsidR="005F4180" w:rsidRPr="007B3A4A" w:rsidRDefault="005F4180" w:rsidP="005F4180">
      <w:pPr>
        <w:rPr>
          <w:rFonts w:ascii="Calibri" w:hAnsi="Calibri" w:cs="Calibri"/>
          <w:sz w:val="22"/>
          <w:szCs w:val="22"/>
        </w:rPr>
      </w:pPr>
      <w:r w:rsidRPr="007B3A4A">
        <w:t>      (L) Statewide wildfire risk maps have been approved and the accessory dwelling unit complies with the Oregon residential specialty code relating to wildfire hazard mitigation for the mapped area; and</w:t>
      </w:r>
    </w:p>
    <w:p w14:paraId="69E9798E" w14:textId="77777777" w:rsidR="005F4180" w:rsidRPr="007B3A4A" w:rsidRDefault="005F4180" w:rsidP="005F4180">
      <w:pPr>
        <w:rPr>
          <w:rFonts w:ascii="Calibri" w:hAnsi="Calibri" w:cs="Calibri"/>
          <w:sz w:val="22"/>
          <w:szCs w:val="22"/>
        </w:rPr>
      </w:pPr>
      <w:r w:rsidRPr="007B3A4A">
        <w:t>      (m) The county has adopted land use regulations that ensure that:</w:t>
      </w:r>
    </w:p>
    <w:p w14:paraId="3CE93AC4" w14:textId="77777777" w:rsidR="005F4180" w:rsidRPr="007B3A4A" w:rsidRDefault="005F4180" w:rsidP="005F4180">
      <w:pPr>
        <w:rPr>
          <w:rFonts w:ascii="Calibri" w:hAnsi="Calibri" w:cs="Calibri"/>
          <w:sz w:val="22"/>
          <w:szCs w:val="22"/>
        </w:rPr>
      </w:pPr>
      <w:r w:rsidRPr="007B3A4A">
        <w:t>      (A) The accessory dwelling unit has adequate setbacks from adjacent lands zoned for resource use;</w:t>
      </w:r>
    </w:p>
    <w:p w14:paraId="5A80468C" w14:textId="77777777" w:rsidR="005F4180" w:rsidRPr="007B3A4A" w:rsidRDefault="005F4180" w:rsidP="005F4180">
      <w:pPr>
        <w:rPr>
          <w:rFonts w:ascii="Calibri" w:hAnsi="Calibri" w:cs="Calibri"/>
          <w:sz w:val="22"/>
          <w:szCs w:val="22"/>
        </w:rPr>
      </w:pPr>
      <w:r w:rsidRPr="007B3A4A">
        <w:t>      (B) The accessory dwelling unit has adequate access for firefighting equipment, safe evacuation and staged evacuation areas; and</w:t>
      </w:r>
    </w:p>
    <w:p w14:paraId="061F3E6E" w14:textId="0ECBE20B" w:rsidR="005F4180" w:rsidRPr="007B3A4A" w:rsidRDefault="005F4180" w:rsidP="005F4180">
      <w:r w:rsidRPr="007B3A4A">
        <w:t>      (C) If the accessory dwelling unit is not subject to ORS 477.015, 477.025 and 477.027, the accessory dwelling unit has defensible space and fuel break standards as developed in consultation with local fire protection service providers.</w:t>
      </w:r>
    </w:p>
    <w:p w14:paraId="3EAB7C8A" w14:textId="2F6F9D9C" w:rsidR="005F4180" w:rsidRPr="007B3A4A" w:rsidRDefault="005F4180" w:rsidP="005F4180"/>
    <w:p w14:paraId="67FE2AEF" w14:textId="5863C07C" w:rsidR="005F4180" w:rsidRPr="007B3A4A" w:rsidRDefault="005F4180" w:rsidP="005F4180">
      <w:pPr>
        <w:rPr>
          <w:b/>
        </w:rPr>
      </w:pPr>
      <w:r w:rsidRPr="007B3A4A">
        <w:rPr>
          <w:b/>
        </w:rPr>
        <w:t>FINDING</w:t>
      </w:r>
      <w:r w:rsidR="007B3A4A" w:rsidRPr="007B3A4A">
        <w:rPr>
          <w:b/>
        </w:rPr>
        <w:t xml:space="preserve"> 2</w:t>
      </w:r>
      <w:r w:rsidRPr="007B3A4A">
        <w:rPr>
          <w:b/>
        </w:rPr>
        <w:t xml:space="preserve">:  </w:t>
      </w:r>
    </w:p>
    <w:p w14:paraId="34A6C35B" w14:textId="0CE04924" w:rsidR="005F4180" w:rsidRPr="006C5C3F" w:rsidRDefault="005F4180" w:rsidP="005F4180">
      <w:pPr>
        <w:rPr>
          <w:b/>
        </w:rPr>
      </w:pPr>
      <w:r w:rsidRPr="006C5C3F">
        <w:rPr>
          <w:b/>
        </w:rPr>
        <w:t xml:space="preserve">The proposed amendments include all of the language above related to minimum lot and site development requirements as stated above verbatim.  </w:t>
      </w:r>
      <w:r w:rsidR="007B3A4A" w:rsidRPr="006C5C3F">
        <w:rPr>
          <w:b/>
        </w:rPr>
        <w:t>Therefore, the proposed amendments are consistent with these definitions.</w:t>
      </w:r>
    </w:p>
    <w:p w14:paraId="706895BF" w14:textId="77777777" w:rsidR="005F4180" w:rsidRPr="007B3A4A" w:rsidRDefault="005F4180" w:rsidP="005F4180">
      <w:pPr>
        <w:rPr>
          <w:rFonts w:ascii="Calibri" w:hAnsi="Calibri" w:cs="Calibri"/>
          <w:sz w:val="22"/>
          <w:szCs w:val="22"/>
        </w:rPr>
      </w:pPr>
    </w:p>
    <w:p w14:paraId="77AAC611" w14:textId="177375F5" w:rsidR="005F4180" w:rsidRPr="007B3A4A" w:rsidRDefault="005F4180" w:rsidP="005F4180">
      <w:r w:rsidRPr="007B3A4A">
        <w:t>      (3) A county may not allow an accessory dwelling unit allowed under this section to be used for vacation occupancy, as defined in ORS 90.100.</w:t>
      </w:r>
    </w:p>
    <w:p w14:paraId="4380E988" w14:textId="7EF72029" w:rsidR="007B3A4A" w:rsidRPr="007B3A4A" w:rsidRDefault="007B3A4A" w:rsidP="005F4180"/>
    <w:p w14:paraId="6999B3A3" w14:textId="707D92B3" w:rsidR="007B3A4A" w:rsidRPr="007B3A4A" w:rsidRDefault="007B3A4A" w:rsidP="005F4180">
      <w:pPr>
        <w:rPr>
          <w:b/>
        </w:rPr>
      </w:pPr>
      <w:r w:rsidRPr="007B3A4A">
        <w:rPr>
          <w:b/>
        </w:rPr>
        <w:t>FINDING 3:</w:t>
      </w:r>
    </w:p>
    <w:p w14:paraId="1C71CC60" w14:textId="0874117F" w:rsidR="007B3A4A" w:rsidRPr="006C5C3F" w:rsidRDefault="007B3A4A" w:rsidP="005F4180">
      <w:pPr>
        <w:rPr>
          <w:b/>
        </w:rPr>
      </w:pPr>
      <w:r w:rsidRPr="006C5C3F">
        <w:rPr>
          <w:b/>
        </w:rPr>
        <w:t>The proposed amendments include a restriction prohibiting an ADU from being used for a vacation occupancy, as defined by ORS 90.100 by including the following requirements:</w:t>
      </w:r>
    </w:p>
    <w:p w14:paraId="3305B50C" w14:textId="77777777" w:rsidR="007B3A4A" w:rsidRPr="006C5C3F" w:rsidRDefault="007B3A4A" w:rsidP="007B3A4A">
      <w:pPr>
        <w:rPr>
          <w:rFonts w:ascii="Calibri" w:hAnsi="Calibri" w:cs="Calibri"/>
          <w:b/>
          <w:sz w:val="22"/>
          <w:szCs w:val="22"/>
        </w:rPr>
      </w:pPr>
      <w:r w:rsidRPr="006C5C3F">
        <w:rPr>
          <w:b/>
        </w:rPr>
        <w:t>      (a) The occupant rents the unit for vacation purposes only, not as a principal residence;</w:t>
      </w:r>
    </w:p>
    <w:p w14:paraId="7CFF6818" w14:textId="77777777" w:rsidR="007B3A4A" w:rsidRPr="006C5C3F" w:rsidRDefault="007B3A4A" w:rsidP="007B3A4A">
      <w:pPr>
        <w:rPr>
          <w:rFonts w:ascii="Calibri" w:hAnsi="Calibri" w:cs="Calibri"/>
          <w:b/>
          <w:sz w:val="22"/>
          <w:szCs w:val="22"/>
        </w:rPr>
      </w:pPr>
      <w:r w:rsidRPr="006C5C3F">
        <w:rPr>
          <w:b/>
        </w:rPr>
        <w:t>      (b) The occupant has a principal residence other than at the unit; and</w:t>
      </w:r>
    </w:p>
    <w:p w14:paraId="6D495FA5" w14:textId="77777777" w:rsidR="007B3A4A" w:rsidRPr="006C5C3F" w:rsidRDefault="007B3A4A" w:rsidP="007B3A4A">
      <w:pPr>
        <w:rPr>
          <w:rFonts w:ascii="Calibri" w:hAnsi="Calibri" w:cs="Calibri"/>
          <w:b/>
          <w:sz w:val="22"/>
          <w:szCs w:val="22"/>
        </w:rPr>
      </w:pPr>
      <w:r w:rsidRPr="006C5C3F">
        <w:rPr>
          <w:b/>
        </w:rPr>
        <w:t>      (c) The period of authorized occupancy does not exceed 45 days.</w:t>
      </w:r>
    </w:p>
    <w:p w14:paraId="5280BC06" w14:textId="7B8E65CC" w:rsidR="007B3A4A" w:rsidRPr="006C5C3F" w:rsidRDefault="007B3A4A" w:rsidP="005F4180">
      <w:pPr>
        <w:rPr>
          <w:rFonts w:ascii="Calibri" w:hAnsi="Calibri" w:cs="Calibri"/>
          <w:b/>
          <w:sz w:val="22"/>
          <w:szCs w:val="22"/>
        </w:rPr>
      </w:pPr>
      <w:r w:rsidRPr="006C5C3F">
        <w:rPr>
          <w:b/>
        </w:rPr>
        <w:t xml:space="preserve">      </w:t>
      </w:r>
    </w:p>
    <w:p w14:paraId="6D7D7EA6" w14:textId="77777777" w:rsidR="005F4180" w:rsidRPr="006C5C3F" w:rsidRDefault="005F4180" w:rsidP="005F4180">
      <w:pPr>
        <w:rPr>
          <w:rFonts w:ascii="Calibri" w:hAnsi="Calibri" w:cs="Calibri"/>
          <w:sz w:val="22"/>
          <w:szCs w:val="22"/>
        </w:rPr>
      </w:pPr>
      <w:r w:rsidRPr="006C5C3F">
        <w:t>      (4) A county that allows construction of an accessory dwelling unit under this section may not approve:</w:t>
      </w:r>
    </w:p>
    <w:p w14:paraId="0270858B" w14:textId="77777777" w:rsidR="005F4180" w:rsidRPr="006C5C3F" w:rsidRDefault="005F4180" w:rsidP="005F4180">
      <w:pPr>
        <w:rPr>
          <w:rFonts w:ascii="Calibri" w:hAnsi="Calibri" w:cs="Calibri"/>
          <w:sz w:val="22"/>
          <w:szCs w:val="22"/>
        </w:rPr>
      </w:pPr>
      <w:r w:rsidRPr="006C5C3F">
        <w:t>      (a) A subdivision, partition or other division of the lot or parcel so that the existing single-family dwelling is situated on a different lot or parcel than the accessory dwelling unit.</w:t>
      </w:r>
    </w:p>
    <w:p w14:paraId="31BFD3E1" w14:textId="2241FBD1" w:rsidR="005F4180" w:rsidRPr="006C5C3F" w:rsidRDefault="005F4180" w:rsidP="005F4180">
      <w:r w:rsidRPr="006C5C3F">
        <w:t>      (b) Construction of an additional accessory dwelling unit on the same lot or parcel.</w:t>
      </w:r>
    </w:p>
    <w:p w14:paraId="58665777" w14:textId="03934086" w:rsidR="007B3A4A" w:rsidRPr="006C5C3F" w:rsidRDefault="007B3A4A" w:rsidP="005F4180"/>
    <w:p w14:paraId="37C62281" w14:textId="77777777" w:rsidR="00340351" w:rsidRDefault="00340351" w:rsidP="005F4180">
      <w:pPr>
        <w:rPr>
          <w:b/>
        </w:rPr>
      </w:pPr>
    </w:p>
    <w:p w14:paraId="29EAA995" w14:textId="77777777" w:rsidR="00340351" w:rsidRDefault="00340351" w:rsidP="005F4180">
      <w:pPr>
        <w:rPr>
          <w:b/>
        </w:rPr>
      </w:pPr>
    </w:p>
    <w:p w14:paraId="431F0F59" w14:textId="766F610A" w:rsidR="007B3A4A" w:rsidRPr="006C5C3F" w:rsidRDefault="007B3A4A" w:rsidP="005F4180">
      <w:pPr>
        <w:rPr>
          <w:b/>
        </w:rPr>
      </w:pPr>
      <w:r w:rsidRPr="006C5C3F">
        <w:rPr>
          <w:b/>
        </w:rPr>
        <w:lastRenderedPageBreak/>
        <w:t xml:space="preserve">FINDING </w:t>
      </w:r>
      <w:r w:rsidR="006C5C3F" w:rsidRPr="006C5C3F">
        <w:rPr>
          <w:b/>
        </w:rPr>
        <w:t>4</w:t>
      </w:r>
      <w:r w:rsidRPr="006C5C3F">
        <w:rPr>
          <w:b/>
        </w:rPr>
        <w:t>:</w:t>
      </w:r>
    </w:p>
    <w:p w14:paraId="4CF5F9BC" w14:textId="45719B33" w:rsidR="007B3A4A" w:rsidRPr="00340351" w:rsidRDefault="007B3A4A" w:rsidP="007B3A4A">
      <w:pPr>
        <w:rPr>
          <w:b/>
        </w:rPr>
      </w:pPr>
      <w:r w:rsidRPr="006C5C3F">
        <w:rPr>
          <w:b/>
        </w:rPr>
        <w:t xml:space="preserve">The proposed amendments include the language above related to land divisions and limitation to a single ADU verbatim.  Therefore, the proposed amendments are consistent </w:t>
      </w:r>
      <w:r w:rsidRPr="00340351">
        <w:rPr>
          <w:b/>
        </w:rPr>
        <w:t>with these definitions.</w:t>
      </w:r>
    </w:p>
    <w:p w14:paraId="27A4D3DF" w14:textId="2ABDAA1F" w:rsidR="007B3A4A" w:rsidRPr="00340351" w:rsidRDefault="007B3A4A" w:rsidP="005F4180">
      <w:pPr>
        <w:rPr>
          <w:rFonts w:ascii="Calibri" w:hAnsi="Calibri" w:cs="Calibri"/>
          <w:sz w:val="22"/>
          <w:szCs w:val="22"/>
        </w:rPr>
      </w:pPr>
    </w:p>
    <w:p w14:paraId="76E78866" w14:textId="75D7F613" w:rsidR="006C5C3F" w:rsidRPr="00340351" w:rsidRDefault="005F4180" w:rsidP="005F4180">
      <w:r w:rsidRPr="00340351">
        <w:t>      (5) A county may require that an accessory dwelling unit constructed under this section be served by the same water supply source or water supply system as the existing single-family dwelling, provided such use is allowed for the accessory dwelling unit by an existing water right or a use under ORS 537.545. If the accessory dwelling unit is served by a well, the construction of the accessory dwelling unit shall maintain all setbacks from the well required by the Water Resources Commission or Water Resources Department.</w:t>
      </w:r>
    </w:p>
    <w:p w14:paraId="401332D8" w14:textId="77777777" w:rsidR="006C5C3F" w:rsidRDefault="006C5C3F" w:rsidP="006C5C3F">
      <w:pPr>
        <w:rPr>
          <w:b/>
        </w:rPr>
      </w:pPr>
    </w:p>
    <w:p w14:paraId="6908B373" w14:textId="514F1CB2" w:rsidR="006C5C3F" w:rsidRPr="006C5C3F" w:rsidRDefault="006C5C3F" w:rsidP="006C5C3F">
      <w:pPr>
        <w:rPr>
          <w:b/>
        </w:rPr>
      </w:pPr>
      <w:r w:rsidRPr="006C5C3F">
        <w:rPr>
          <w:b/>
        </w:rPr>
        <w:t xml:space="preserve">FINDING </w:t>
      </w:r>
      <w:r>
        <w:rPr>
          <w:b/>
        </w:rPr>
        <w:t>5</w:t>
      </w:r>
      <w:r w:rsidRPr="006C5C3F">
        <w:rPr>
          <w:b/>
        </w:rPr>
        <w:t>:</w:t>
      </w:r>
    </w:p>
    <w:p w14:paraId="0DD9363F" w14:textId="659DC836" w:rsidR="006C5C3F" w:rsidRPr="006C5C3F" w:rsidRDefault="006C5C3F" w:rsidP="006C5C3F">
      <w:pPr>
        <w:rPr>
          <w:b/>
        </w:rPr>
      </w:pPr>
      <w:r>
        <w:rPr>
          <w:b/>
        </w:rPr>
        <w:t>The proposed findings include language requiring an ADU be served by the same water supply source or water supply as the existing single-family dwelling, in accordance with this allowance.  The Planning Commission has the option of recommending this requirement be eliminated or altering it in some way in accordance with the law.</w:t>
      </w:r>
    </w:p>
    <w:p w14:paraId="43E6A2A0" w14:textId="72487C80" w:rsidR="006C5C3F" w:rsidRPr="006C5C3F" w:rsidRDefault="006C5C3F" w:rsidP="005F4180">
      <w:pPr>
        <w:rPr>
          <w:color w:val="1F497D" w:themeColor="text2"/>
        </w:rPr>
      </w:pPr>
    </w:p>
    <w:p w14:paraId="7CB8B3D0" w14:textId="19D6622F" w:rsidR="005F4180" w:rsidRPr="00340351" w:rsidRDefault="005F4180" w:rsidP="005F4180">
      <w:r w:rsidRPr="00340351">
        <w:t>      (6) An existing single-family dwelling and an accessory dwelling unit allowed under this section are considered a single unit for the purposes of calculating exemptions under ORS 537.545 (1).</w:t>
      </w:r>
    </w:p>
    <w:p w14:paraId="50815494" w14:textId="5F11318A" w:rsidR="006C5C3F" w:rsidRPr="00340351" w:rsidRDefault="006C5C3F" w:rsidP="005F4180"/>
    <w:p w14:paraId="79EE7BF3" w14:textId="3377F5AA" w:rsidR="006C5C3F" w:rsidRPr="00340351" w:rsidRDefault="006C5C3F" w:rsidP="006C5C3F">
      <w:pPr>
        <w:rPr>
          <w:b/>
        </w:rPr>
      </w:pPr>
      <w:r w:rsidRPr="00340351">
        <w:rPr>
          <w:b/>
        </w:rPr>
        <w:t>FINDING 6:</w:t>
      </w:r>
    </w:p>
    <w:p w14:paraId="4D16180E" w14:textId="714E1484" w:rsidR="006C5C3F" w:rsidRPr="00340351" w:rsidRDefault="006C5C3F" w:rsidP="006C5C3F">
      <w:pPr>
        <w:rPr>
          <w:b/>
        </w:rPr>
      </w:pPr>
      <w:r w:rsidRPr="00340351">
        <w:rPr>
          <w:b/>
        </w:rPr>
        <w:t xml:space="preserve">ORS 537.545 (1) deals with </w:t>
      </w:r>
      <w:r w:rsidR="00340351" w:rsidRPr="00340351">
        <w:rPr>
          <w:b/>
        </w:rPr>
        <w:t xml:space="preserve">exempt uses under state groundwater laws.  This provision is included verbatim in the proposed </w:t>
      </w:r>
      <w:proofErr w:type="spellStart"/>
      <w:r w:rsidR="00340351" w:rsidRPr="00340351">
        <w:rPr>
          <w:b/>
        </w:rPr>
        <w:t>amdendments</w:t>
      </w:r>
      <w:proofErr w:type="spellEnd"/>
      <w:r w:rsidR="00340351" w:rsidRPr="00340351">
        <w:rPr>
          <w:b/>
        </w:rPr>
        <w:t>.</w:t>
      </w:r>
    </w:p>
    <w:p w14:paraId="31A65B7E" w14:textId="77777777" w:rsidR="006C5C3F" w:rsidRPr="00340351" w:rsidRDefault="006C5C3F" w:rsidP="005F4180">
      <w:pPr>
        <w:rPr>
          <w:rFonts w:ascii="Calibri" w:hAnsi="Calibri" w:cs="Calibri"/>
          <w:sz w:val="22"/>
          <w:szCs w:val="22"/>
        </w:rPr>
      </w:pPr>
    </w:p>
    <w:p w14:paraId="54D72AF9" w14:textId="77777777" w:rsidR="005F4180" w:rsidRPr="00340351" w:rsidRDefault="005F4180" w:rsidP="005F4180">
      <w:pPr>
        <w:rPr>
          <w:rFonts w:ascii="Calibri" w:hAnsi="Calibri" w:cs="Calibri"/>
          <w:sz w:val="22"/>
          <w:szCs w:val="22"/>
        </w:rPr>
      </w:pPr>
      <w:r w:rsidRPr="00340351">
        <w:t>      (7) Nothing in this section requires a county to allow any accessory dwelling units in areas zoned for rural residential use or prohibits a county from imposing any additional restrictions on accessory dwelling units in areas zoned for rural residential use, including restrictions on the construction of garages and outbuildings that support an accessory dwelling unit. [2021 c.396 §2]</w:t>
      </w:r>
    </w:p>
    <w:p w14:paraId="103AFA67" w14:textId="7AE0485D" w:rsidR="003019BD" w:rsidRDefault="003019BD" w:rsidP="00917711">
      <w:pPr>
        <w:rPr>
          <w:b/>
          <w:bCs/>
        </w:rPr>
      </w:pPr>
    </w:p>
    <w:p w14:paraId="1BAA34E0" w14:textId="5E14B786" w:rsidR="00917711" w:rsidRDefault="009E642A" w:rsidP="00917711">
      <w:r w:rsidRPr="009E642A">
        <w:rPr>
          <w:b/>
          <w:bCs/>
        </w:rPr>
        <w:t xml:space="preserve">FINDING </w:t>
      </w:r>
      <w:r w:rsidR="00340351">
        <w:rPr>
          <w:b/>
          <w:bCs/>
        </w:rPr>
        <w:t>7</w:t>
      </w:r>
      <w:r w:rsidRPr="009E642A">
        <w:rPr>
          <w:b/>
          <w:bCs/>
        </w:rPr>
        <w:t>:</w:t>
      </w:r>
      <w:r>
        <w:t xml:space="preserve"> </w:t>
      </w:r>
    </w:p>
    <w:p w14:paraId="5BD18ADC" w14:textId="63F934AF" w:rsidR="00340351" w:rsidRPr="00340351" w:rsidRDefault="00340351" w:rsidP="00917711">
      <w:pPr>
        <w:rPr>
          <w:b/>
        </w:rPr>
      </w:pPr>
      <w:r>
        <w:rPr>
          <w:b/>
        </w:rPr>
        <w:t>The purpose of the public hearing before the Planning Commission is to solicit public input in regard as to whether or not the county should allow ADUs in all or any of the zones allowed under the provisions of ORS 215.495.  As with the majority non-prescriptive state laws, the county may adopt standards that are more stringent, but not more lenient.</w:t>
      </w:r>
    </w:p>
    <w:p w14:paraId="6BBB2554" w14:textId="29EE7A86" w:rsidR="00917711" w:rsidRDefault="00917711" w:rsidP="00917711">
      <w:pPr>
        <w:rPr>
          <w:color w:val="0070C0"/>
        </w:rPr>
      </w:pPr>
    </w:p>
    <w:p w14:paraId="0B60BCE0" w14:textId="77777777" w:rsidR="00340351" w:rsidRPr="0065146E" w:rsidRDefault="00340351" w:rsidP="00917711">
      <w:pPr>
        <w:rPr>
          <w:color w:val="0070C0"/>
        </w:rPr>
      </w:pPr>
    </w:p>
    <w:p w14:paraId="5D86924E" w14:textId="77777777" w:rsidR="00A46AC7" w:rsidRPr="0065146E" w:rsidRDefault="00A46AC7" w:rsidP="00B04BC4">
      <w:pPr>
        <w:jc w:val="both"/>
        <w:rPr>
          <w:b/>
          <w:bCs/>
          <w:color w:val="0070C0"/>
        </w:rPr>
      </w:pPr>
    </w:p>
    <w:p w14:paraId="1DBEF8DC" w14:textId="77777777" w:rsidR="00340351" w:rsidRDefault="00340351" w:rsidP="00B04BC4">
      <w:pPr>
        <w:jc w:val="both"/>
        <w:rPr>
          <w:b/>
          <w:bCs/>
        </w:rPr>
      </w:pPr>
    </w:p>
    <w:p w14:paraId="0C8B0E40" w14:textId="77777777" w:rsidR="00340351" w:rsidRDefault="00340351" w:rsidP="00B04BC4">
      <w:pPr>
        <w:jc w:val="both"/>
        <w:rPr>
          <w:b/>
          <w:bCs/>
        </w:rPr>
      </w:pPr>
    </w:p>
    <w:p w14:paraId="3E3296D3" w14:textId="77777777" w:rsidR="00340351" w:rsidRDefault="00340351" w:rsidP="00B04BC4">
      <w:pPr>
        <w:jc w:val="both"/>
        <w:rPr>
          <w:b/>
          <w:bCs/>
        </w:rPr>
      </w:pPr>
    </w:p>
    <w:p w14:paraId="78E47FCB" w14:textId="77777777" w:rsidR="00340351" w:rsidRDefault="00340351" w:rsidP="00B04BC4">
      <w:pPr>
        <w:jc w:val="both"/>
        <w:rPr>
          <w:b/>
          <w:bCs/>
        </w:rPr>
      </w:pPr>
    </w:p>
    <w:p w14:paraId="17B20A3D" w14:textId="1F32BF60" w:rsidR="00BB601D" w:rsidRPr="0065146E" w:rsidRDefault="00A46AC7" w:rsidP="00B04BC4">
      <w:pPr>
        <w:jc w:val="both"/>
        <w:rPr>
          <w:b/>
          <w:bCs/>
        </w:rPr>
      </w:pPr>
      <w:r w:rsidRPr="0065146E">
        <w:rPr>
          <w:b/>
          <w:bCs/>
        </w:rPr>
        <w:lastRenderedPageBreak/>
        <w:t>II.</w:t>
      </w:r>
      <w:r w:rsidRPr="0065146E">
        <w:rPr>
          <w:b/>
          <w:bCs/>
        </w:rPr>
        <w:tab/>
      </w:r>
      <w:r w:rsidR="00BB601D" w:rsidRPr="0065146E">
        <w:rPr>
          <w:b/>
          <w:bCs/>
        </w:rPr>
        <w:t>Oregon Statewide Planning Goals</w:t>
      </w:r>
    </w:p>
    <w:p w14:paraId="5F830E70" w14:textId="77777777" w:rsidR="00AD4376" w:rsidRPr="0065146E" w:rsidRDefault="00AD4376" w:rsidP="00D509EC">
      <w:pPr>
        <w:jc w:val="both"/>
      </w:pPr>
    </w:p>
    <w:p w14:paraId="701FEDB1" w14:textId="6600B2E7" w:rsidR="00D509EC" w:rsidRPr="0065146E" w:rsidRDefault="00D509EC" w:rsidP="00D509EC">
      <w:pPr>
        <w:jc w:val="both"/>
      </w:pPr>
      <w:r w:rsidRPr="0065146E">
        <w:rPr>
          <w:u w:val="single"/>
        </w:rPr>
        <w:t>Goal 1</w:t>
      </w:r>
      <w:r w:rsidR="00BB601D" w:rsidRPr="0065146E">
        <w:rPr>
          <w:u w:val="single"/>
        </w:rPr>
        <w:t xml:space="preserve"> - </w:t>
      </w:r>
      <w:r w:rsidRPr="0065146E">
        <w:rPr>
          <w:u w:val="single"/>
        </w:rPr>
        <w:t>Citizen Involvement.</w:t>
      </w:r>
      <w:r w:rsidRPr="0065146E">
        <w:t xml:space="preserve"> To develop a citizen involvement program that ensures the opportunity for citizens to be involved in all phases of the planning process.</w:t>
      </w:r>
    </w:p>
    <w:p w14:paraId="43DC2A39" w14:textId="77777777" w:rsidR="00A46AC7" w:rsidRPr="0065146E" w:rsidRDefault="00A46AC7" w:rsidP="00D509EC">
      <w:pPr>
        <w:jc w:val="both"/>
      </w:pPr>
    </w:p>
    <w:p w14:paraId="28488B38" w14:textId="37BA0B00" w:rsidR="0065146E" w:rsidRPr="0065146E" w:rsidRDefault="00AD4376" w:rsidP="00D509EC">
      <w:pPr>
        <w:jc w:val="both"/>
        <w:rPr>
          <w:b/>
          <w:bCs/>
        </w:rPr>
      </w:pPr>
      <w:r w:rsidRPr="0065146E">
        <w:rPr>
          <w:b/>
          <w:bCs/>
        </w:rPr>
        <w:t xml:space="preserve">FINDING </w:t>
      </w:r>
      <w:r w:rsidR="00340351">
        <w:rPr>
          <w:b/>
          <w:bCs/>
        </w:rPr>
        <w:t>8</w:t>
      </w:r>
      <w:r w:rsidR="002F262A" w:rsidRPr="0065146E">
        <w:rPr>
          <w:b/>
          <w:bCs/>
        </w:rPr>
        <w:t xml:space="preserve">: </w:t>
      </w:r>
    </w:p>
    <w:p w14:paraId="41F18610" w14:textId="31E2C17B" w:rsidR="00D509EC" w:rsidRPr="00340351" w:rsidRDefault="00D509EC" w:rsidP="00D509EC">
      <w:pPr>
        <w:jc w:val="both"/>
        <w:rPr>
          <w:b/>
        </w:rPr>
      </w:pPr>
      <w:r w:rsidRPr="00340351">
        <w:rPr>
          <w:b/>
        </w:rPr>
        <w:t>Jefferson County uses its adopted Citizen Involvement Program in all phases of the ongoing pl</w:t>
      </w:r>
      <w:r w:rsidR="0065146E" w:rsidRPr="00340351">
        <w:rPr>
          <w:b/>
        </w:rPr>
        <w:t xml:space="preserve">anning processes in the County.  The purpose of this staff report, as well as the public meeting(s) of the Planning Commission in which this amendment is being considered, is to provide a forum for public comments which is consistent with the county’s Citizen Involvement Program.  </w:t>
      </w:r>
      <w:r w:rsidR="00A977E1" w:rsidRPr="00340351">
        <w:rPr>
          <w:b/>
        </w:rPr>
        <w:t>Staff finds the process is consistent with Goal 1.</w:t>
      </w:r>
    </w:p>
    <w:p w14:paraId="71E61178" w14:textId="77777777" w:rsidR="008A29DA" w:rsidRPr="0065146E" w:rsidRDefault="008A29DA" w:rsidP="00D509EC">
      <w:pPr>
        <w:jc w:val="both"/>
        <w:rPr>
          <w:color w:val="0070C0"/>
        </w:rPr>
      </w:pPr>
    </w:p>
    <w:p w14:paraId="07D5B363" w14:textId="7A4D5653" w:rsidR="00D509EC" w:rsidRPr="00A977E1" w:rsidRDefault="00D509EC" w:rsidP="00D509EC">
      <w:pPr>
        <w:jc w:val="both"/>
      </w:pPr>
      <w:r w:rsidRPr="00A977E1">
        <w:rPr>
          <w:u w:val="single"/>
        </w:rPr>
        <w:t>Goal 2. Land Use Planning.</w:t>
      </w:r>
      <w:r w:rsidRPr="00A977E1">
        <w:t xml:space="preserve"> To establish a land use planning process and policy framework as a basis for all decisions and actions related to use of land to assure an adequate factual base for such decisions and actions. </w:t>
      </w:r>
    </w:p>
    <w:p w14:paraId="59018C81" w14:textId="0B06C633" w:rsidR="0065146E" w:rsidRPr="00A977E1" w:rsidRDefault="0065146E" w:rsidP="00D509EC">
      <w:pPr>
        <w:jc w:val="both"/>
      </w:pPr>
    </w:p>
    <w:p w14:paraId="78CFBC64" w14:textId="61E1C72C" w:rsidR="00A977E1" w:rsidRPr="00A977E1" w:rsidRDefault="00A977E1" w:rsidP="00D509EC">
      <w:pPr>
        <w:jc w:val="both"/>
      </w:pPr>
      <w:r w:rsidRPr="00A977E1">
        <w:rPr>
          <w:b/>
          <w:bCs/>
        </w:rPr>
        <w:t xml:space="preserve">FINDING </w:t>
      </w:r>
      <w:r w:rsidR="00340351">
        <w:rPr>
          <w:b/>
          <w:bCs/>
        </w:rPr>
        <w:t>9</w:t>
      </w:r>
      <w:r w:rsidR="00D87AC7" w:rsidRPr="00A977E1">
        <w:rPr>
          <w:b/>
          <w:bCs/>
        </w:rPr>
        <w:t>:</w:t>
      </w:r>
      <w:r w:rsidR="00D87AC7" w:rsidRPr="00A977E1">
        <w:t xml:space="preserve"> </w:t>
      </w:r>
    </w:p>
    <w:p w14:paraId="2C4F8CC6" w14:textId="54ADC8D0" w:rsidR="00D509EC" w:rsidRPr="00340351" w:rsidRDefault="00A977E1" w:rsidP="00D509EC">
      <w:pPr>
        <w:jc w:val="both"/>
        <w:rPr>
          <w:b/>
        </w:rPr>
      </w:pPr>
      <w:r w:rsidRPr="00340351">
        <w:rPr>
          <w:b/>
        </w:rPr>
        <w:t xml:space="preserve">As demonstrated in this staff report, the county </w:t>
      </w:r>
      <w:r w:rsidR="00D509EC" w:rsidRPr="00340351">
        <w:rPr>
          <w:b/>
        </w:rPr>
        <w:t xml:space="preserve">is following the </w:t>
      </w:r>
      <w:r w:rsidR="00BF5237" w:rsidRPr="00340351">
        <w:rPr>
          <w:b/>
        </w:rPr>
        <w:t xml:space="preserve">Oregon’s Statewide Planning Goal requirements for </w:t>
      </w:r>
      <w:r w:rsidRPr="00340351">
        <w:rPr>
          <w:b/>
        </w:rPr>
        <w:t xml:space="preserve">an amendment to the county zoning ordinance, including providing the required notice of Proposed Plan Amendment 35 days prior to the first evidentiary </w:t>
      </w:r>
      <w:r w:rsidR="00CA174A" w:rsidRPr="00340351">
        <w:rPr>
          <w:b/>
        </w:rPr>
        <w:t>hearing which was submitted on January 20, 2022.  Staff finds the process is consistent with Goal 2.</w:t>
      </w:r>
    </w:p>
    <w:p w14:paraId="2F409A6C" w14:textId="0529FDC7" w:rsidR="008A29DA" w:rsidRPr="0065146E" w:rsidRDefault="008A29DA" w:rsidP="00D509EC">
      <w:pPr>
        <w:jc w:val="both"/>
        <w:rPr>
          <w:color w:val="0070C0"/>
        </w:rPr>
      </w:pPr>
    </w:p>
    <w:p w14:paraId="02D84E0F" w14:textId="4492AB1B" w:rsidR="00D509EC" w:rsidRPr="00CA174A" w:rsidRDefault="00D509EC" w:rsidP="00D509EC">
      <w:pPr>
        <w:jc w:val="both"/>
      </w:pPr>
      <w:r w:rsidRPr="00CA174A">
        <w:rPr>
          <w:u w:val="single"/>
        </w:rPr>
        <w:t>Goal 3. Agricultural Lands.</w:t>
      </w:r>
      <w:r w:rsidRPr="00CA174A">
        <w:t xml:space="preserve"> To preserve and maintain agriculture lands.</w:t>
      </w:r>
    </w:p>
    <w:p w14:paraId="49BAF7D6" w14:textId="77777777" w:rsidR="00CA174A" w:rsidRPr="00CA174A" w:rsidRDefault="00CA174A" w:rsidP="00D509EC">
      <w:pPr>
        <w:jc w:val="both"/>
      </w:pPr>
    </w:p>
    <w:p w14:paraId="46B3F7AA" w14:textId="318059D4" w:rsidR="00CA174A" w:rsidRPr="00CA174A" w:rsidRDefault="00CA174A" w:rsidP="00D509EC">
      <w:pPr>
        <w:jc w:val="both"/>
      </w:pPr>
      <w:r>
        <w:rPr>
          <w:b/>
          <w:bCs/>
        </w:rPr>
        <w:t xml:space="preserve">FINDING </w:t>
      </w:r>
      <w:r w:rsidR="00340351">
        <w:rPr>
          <w:b/>
          <w:bCs/>
        </w:rPr>
        <w:t>10</w:t>
      </w:r>
      <w:r w:rsidR="00B31982" w:rsidRPr="00CA174A">
        <w:rPr>
          <w:b/>
          <w:bCs/>
        </w:rPr>
        <w:t>:</w:t>
      </w:r>
      <w:r w:rsidR="00B31982" w:rsidRPr="00CA174A">
        <w:t xml:space="preserve"> </w:t>
      </w:r>
    </w:p>
    <w:p w14:paraId="3F373A47" w14:textId="5C65BB70" w:rsidR="00D509EC" w:rsidRPr="00340351" w:rsidRDefault="00CA174A" w:rsidP="00D509EC">
      <w:pPr>
        <w:jc w:val="both"/>
        <w:rPr>
          <w:b/>
          <w:sz w:val="32"/>
          <w:szCs w:val="32"/>
        </w:rPr>
      </w:pPr>
      <w:r w:rsidRPr="00340351">
        <w:rPr>
          <w:b/>
        </w:rPr>
        <w:t>SB 391 specifically limits code amendments allowing ADUs to areas “zoned for rural residential use.”  This excludes agricultural lands.  Staff finds the proposed amendments are consistent with Goal 3.</w:t>
      </w:r>
    </w:p>
    <w:p w14:paraId="351624C7" w14:textId="77777777" w:rsidR="008A29DA" w:rsidRPr="00CA174A" w:rsidRDefault="008A29DA" w:rsidP="00D509EC">
      <w:pPr>
        <w:jc w:val="both"/>
      </w:pPr>
    </w:p>
    <w:p w14:paraId="44C3870E" w14:textId="2447E6BF" w:rsidR="00D509EC" w:rsidRPr="00CA174A" w:rsidRDefault="00D509EC" w:rsidP="00D509EC">
      <w:pPr>
        <w:jc w:val="both"/>
      </w:pPr>
      <w:r w:rsidRPr="00CA174A">
        <w:rPr>
          <w:u w:val="single"/>
        </w:rPr>
        <w:t>Goal 4. Forest Lands.</w:t>
      </w:r>
      <w:r w:rsidRPr="00CA174A">
        <w:t xml:space="preserve"> To conserve forest lands.</w:t>
      </w:r>
    </w:p>
    <w:p w14:paraId="756BFC49" w14:textId="77777777" w:rsidR="00CA174A" w:rsidRPr="00CA174A" w:rsidRDefault="00CA174A" w:rsidP="00D509EC">
      <w:pPr>
        <w:jc w:val="both"/>
      </w:pPr>
    </w:p>
    <w:p w14:paraId="20808A70" w14:textId="79F496C1" w:rsidR="00CA174A" w:rsidRPr="00CA174A" w:rsidRDefault="00CA174A" w:rsidP="00D509EC">
      <w:pPr>
        <w:jc w:val="both"/>
      </w:pPr>
      <w:r>
        <w:rPr>
          <w:b/>
          <w:bCs/>
        </w:rPr>
        <w:t xml:space="preserve">FINDING </w:t>
      </w:r>
      <w:r w:rsidR="00340351">
        <w:rPr>
          <w:b/>
          <w:bCs/>
        </w:rPr>
        <w:t>11</w:t>
      </w:r>
      <w:r w:rsidR="00B31982" w:rsidRPr="00CA174A">
        <w:rPr>
          <w:b/>
          <w:bCs/>
        </w:rPr>
        <w:t>:</w:t>
      </w:r>
      <w:r w:rsidR="00B31982" w:rsidRPr="00CA174A">
        <w:t xml:space="preserve"> </w:t>
      </w:r>
    </w:p>
    <w:p w14:paraId="1D97400C" w14:textId="4C3AA267" w:rsidR="00CA174A" w:rsidRPr="00340351" w:rsidRDefault="00CA174A" w:rsidP="00CA174A">
      <w:pPr>
        <w:jc w:val="both"/>
        <w:rPr>
          <w:b/>
          <w:sz w:val="32"/>
          <w:szCs w:val="32"/>
        </w:rPr>
      </w:pPr>
      <w:r w:rsidRPr="00340351">
        <w:rPr>
          <w:b/>
        </w:rPr>
        <w:t>SB 391 specifically limits code amendments allowing ADUs to areas “zoned for rural residential use.”  This excludes forest lands.  Staff finds the proposed amendments are consistent with Goal 4.</w:t>
      </w:r>
    </w:p>
    <w:p w14:paraId="7D10A559" w14:textId="46F71250" w:rsidR="00CA174A" w:rsidRPr="0065146E" w:rsidRDefault="00CA174A" w:rsidP="00D509EC">
      <w:pPr>
        <w:jc w:val="both"/>
        <w:rPr>
          <w:color w:val="0070C0"/>
        </w:rPr>
      </w:pPr>
    </w:p>
    <w:p w14:paraId="393B98F3" w14:textId="1F2D2E78" w:rsidR="00D509EC" w:rsidRPr="00091345" w:rsidRDefault="00D509EC" w:rsidP="00D509EC">
      <w:pPr>
        <w:jc w:val="both"/>
        <w:rPr>
          <w:u w:val="single"/>
        </w:rPr>
      </w:pPr>
      <w:r w:rsidRPr="00091345">
        <w:rPr>
          <w:u w:val="single"/>
        </w:rPr>
        <w:t>Goal 5. To conserve open space and protect natural and scenic resources.</w:t>
      </w:r>
    </w:p>
    <w:p w14:paraId="275D8F28" w14:textId="77777777" w:rsidR="00CA174A" w:rsidRPr="00091345" w:rsidRDefault="00CA174A" w:rsidP="00D509EC">
      <w:pPr>
        <w:jc w:val="both"/>
        <w:rPr>
          <w:b/>
          <w:bCs/>
        </w:rPr>
      </w:pPr>
    </w:p>
    <w:p w14:paraId="7BD3617E" w14:textId="61FB8999" w:rsidR="00091345" w:rsidRPr="00091345" w:rsidRDefault="00091345" w:rsidP="00D509EC">
      <w:pPr>
        <w:jc w:val="both"/>
      </w:pPr>
      <w:r w:rsidRPr="00091345">
        <w:rPr>
          <w:b/>
          <w:bCs/>
        </w:rPr>
        <w:t xml:space="preserve">FINDING </w:t>
      </w:r>
      <w:r w:rsidR="00340351">
        <w:rPr>
          <w:b/>
          <w:bCs/>
        </w:rPr>
        <w:t>12</w:t>
      </w:r>
      <w:r w:rsidR="00AA5CB5" w:rsidRPr="00091345">
        <w:rPr>
          <w:b/>
          <w:bCs/>
        </w:rPr>
        <w:t>:</w:t>
      </w:r>
      <w:r w:rsidR="00AA5CB5" w:rsidRPr="00091345">
        <w:t xml:space="preserve"> </w:t>
      </w:r>
    </w:p>
    <w:p w14:paraId="3E678209" w14:textId="6C99B51F" w:rsidR="00D509EC" w:rsidRPr="00340351" w:rsidRDefault="00091345" w:rsidP="00D509EC">
      <w:pPr>
        <w:jc w:val="both"/>
        <w:rPr>
          <w:b/>
        </w:rPr>
      </w:pPr>
      <w:r w:rsidRPr="00340351">
        <w:rPr>
          <w:b/>
        </w:rPr>
        <w:t xml:space="preserve">As proposed, ADUs would be permitted outright in the appropriate zones through the same review process as a single family dwelling (SFD).  In accordance with this, they would be required to meet the same standards that apply to a SFD related to protection of open space </w:t>
      </w:r>
      <w:r w:rsidRPr="00340351">
        <w:rPr>
          <w:b/>
        </w:rPr>
        <w:lastRenderedPageBreak/>
        <w:t>and natural and scenic resources.</w:t>
      </w:r>
      <w:r w:rsidR="00DF299F" w:rsidRPr="00340351">
        <w:rPr>
          <w:b/>
        </w:rPr>
        <w:t xml:space="preserve">  Staff finds the proposed amendments are consistent with Goal 5.</w:t>
      </w:r>
    </w:p>
    <w:p w14:paraId="4CA45858" w14:textId="57DDFCC9" w:rsidR="005E292E" w:rsidRPr="0065146E" w:rsidRDefault="005E292E" w:rsidP="00D509EC">
      <w:pPr>
        <w:jc w:val="both"/>
        <w:rPr>
          <w:color w:val="0070C0"/>
        </w:rPr>
      </w:pPr>
    </w:p>
    <w:p w14:paraId="23F4725B" w14:textId="4CE15F52" w:rsidR="00D509EC" w:rsidRPr="0033696B" w:rsidRDefault="00D509EC" w:rsidP="00D509EC">
      <w:pPr>
        <w:jc w:val="both"/>
      </w:pPr>
      <w:r w:rsidRPr="0033696B">
        <w:t xml:space="preserve">Goal 6. Air, water and land resource quality. To </w:t>
      </w:r>
      <w:bookmarkStart w:id="1" w:name="_Hlk60894905"/>
      <w:r w:rsidRPr="0033696B">
        <w:t>maintain and improve the quality of the air, water and land resources of the State</w:t>
      </w:r>
      <w:bookmarkEnd w:id="1"/>
      <w:r w:rsidRPr="0033696B">
        <w:t>.</w:t>
      </w:r>
    </w:p>
    <w:p w14:paraId="7D129D09" w14:textId="77777777" w:rsidR="00091345" w:rsidRPr="0033696B" w:rsidRDefault="00091345" w:rsidP="00D509EC">
      <w:pPr>
        <w:jc w:val="both"/>
      </w:pPr>
    </w:p>
    <w:p w14:paraId="2E8B773B" w14:textId="412BC649" w:rsidR="00091345" w:rsidRPr="0033696B" w:rsidRDefault="00FD44C7" w:rsidP="00D509EC">
      <w:pPr>
        <w:jc w:val="both"/>
        <w:rPr>
          <w:b/>
          <w:bCs/>
        </w:rPr>
      </w:pPr>
      <w:r w:rsidRPr="0033696B">
        <w:rPr>
          <w:b/>
          <w:bCs/>
        </w:rPr>
        <w:t xml:space="preserve">FINDING </w:t>
      </w:r>
      <w:r w:rsidR="00340351">
        <w:rPr>
          <w:b/>
          <w:bCs/>
        </w:rPr>
        <w:t>13</w:t>
      </w:r>
      <w:r w:rsidRPr="0033696B">
        <w:rPr>
          <w:b/>
          <w:bCs/>
        </w:rPr>
        <w:t xml:space="preserve">: </w:t>
      </w:r>
    </w:p>
    <w:p w14:paraId="6A43A312" w14:textId="53ECCB97" w:rsidR="00DF299F" w:rsidRPr="00340351" w:rsidRDefault="00DF299F" w:rsidP="00DF299F">
      <w:pPr>
        <w:jc w:val="both"/>
        <w:rPr>
          <w:b/>
        </w:rPr>
      </w:pPr>
      <w:r w:rsidRPr="00340351">
        <w:rPr>
          <w:b/>
        </w:rPr>
        <w:t>As proposed, ADUs would be permitted outright in the appropriate zones through the same review process as a single family dwelling (SFD).  In accordance with this, they would be required to meet the same standards that apply to a SFD related to protection of air, water and land resource quality.  Staff finds the proposed amendments are consistent with Goal 6.</w:t>
      </w:r>
    </w:p>
    <w:p w14:paraId="620E66AA" w14:textId="77777777" w:rsidR="008A29DA" w:rsidRPr="00751AA4" w:rsidRDefault="008A29DA" w:rsidP="00D509EC">
      <w:pPr>
        <w:jc w:val="both"/>
      </w:pPr>
    </w:p>
    <w:p w14:paraId="165578D6" w14:textId="77777777" w:rsidR="00751AA4" w:rsidRPr="00751AA4" w:rsidRDefault="00D509EC" w:rsidP="00D509EC">
      <w:pPr>
        <w:jc w:val="both"/>
      </w:pPr>
      <w:r w:rsidRPr="00751AA4">
        <w:t xml:space="preserve">Goal 7. Areas subject to natural hazards. To protect people and property from natural hazards. </w:t>
      </w:r>
    </w:p>
    <w:p w14:paraId="5C6C5BD1" w14:textId="77777777" w:rsidR="00751AA4" w:rsidRPr="00751AA4" w:rsidRDefault="00751AA4" w:rsidP="00D509EC">
      <w:pPr>
        <w:jc w:val="both"/>
      </w:pPr>
    </w:p>
    <w:p w14:paraId="3C157832" w14:textId="1655586D" w:rsidR="00751AA4" w:rsidRDefault="004B310C" w:rsidP="00D509EC">
      <w:pPr>
        <w:jc w:val="both"/>
        <w:rPr>
          <w:b/>
          <w:bCs/>
        </w:rPr>
      </w:pPr>
      <w:r w:rsidRPr="00751AA4">
        <w:rPr>
          <w:b/>
          <w:bCs/>
        </w:rPr>
        <w:t xml:space="preserve">FINDING </w:t>
      </w:r>
      <w:r w:rsidR="00340351">
        <w:rPr>
          <w:b/>
          <w:bCs/>
        </w:rPr>
        <w:t>14</w:t>
      </w:r>
      <w:r w:rsidRPr="00751AA4">
        <w:rPr>
          <w:b/>
          <w:bCs/>
        </w:rPr>
        <w:t xml:space="preserve">: </w:t>
      </w:r>
    </w:p>
    <w:p w14:paraId="5DBD62CC" w14:textId="539C8CB3" w:rsidR="00751AA4" w:rsidRPr="00340351" w:rsidRDefault="00751AA4" w:rsidP="00751AA4">
      <w:pPr>
        <w:jc w:val="both"/>
        <w:rPr>
          <w:b/>
        </w:rPr>
      </w:pPr>
      <w:r w:rsidRPr="00340351">
        <w:rPr>
          <w:b/>
        </w:rPr>
        <w:t>As proposed, ADUs would be permitted outright in the appropriate zones through the same review process as a single family dwelling (SFD).  In accordance with this, they would be required to meet the same standards that apply to a SFD related to areas subject to natural hazards.  Staff finds the proposed amendments are consistent with Goal 6.</w:t>
      </w:r>
    </w:p>
    <w:p w14:paraId="64061956" w14:textId="77777777" w:rsidR="008A29DA" w:rsidRPr="0065146E" w:rsidRDefault="008A29DA" w:rsidP="00D509EC">
      <w:pPr>
        <w:jc w:val="both"/>
        <w:rPr>
          <w:color w:val="0070C0"/>
        </w:rPr>
      </w:pPr>
    </w:p>
    <w:p w14:paraId="24232B6B" w14:textId="5D8575D3" w:rsidR="00D509EC" w:rsidRPr="00751AA4" w:rsidRDefault="00D509EC" w:rsidP="00D509EC">
      <w:pPr>
        <w:jc w:val="both"/>
      </w:pPr>
      <w:r w:rsidRPr="00751AA4">
        <w:t>Goal 8. Recreational needs. To Satisfy the recreation needs of the citizens of the state and visitors, and, where appropriate, to provide for the siting of necessary recreational facilities, including destination resorts.</w:t>
      </w:r>
    </w:p>
    <w:p w14:paraId="06050E81" w14:textId="77777777" w:rsidR="00751AA4" w:rsidRDefault="00751AA4" w:rsidP="00D509EC">
      <w:pPr>
        <w:jc w:val="both"/>
        <w:rPr>
          <w:b/>
          <w:bCs/>
          <w:color w:val="0070C0"/>
        </w:rPr>
      </w:pPr>
    </w:p>
    <w:p w14:paraId="07C50435" w14:textId="77777777" w:rsidR="00751AA4" w:rsidRDefault="00751AA4" w:rsidP="00D509EC">
      <w:pPr>
        <w:jc w:val="both"/>
        <w:rPr>
          <w:b/>
          <w:bCs/>
          <w:color w:val="0070C0"/>
        </w:rPr>
      </w:pPr>
    </w:p>
    <w:p w14:paraId="21A92B75" w14:textId="492FC537" w:rsidR="00751AA4" w:rsidRPr="00751AA4" w:rsidRDefault="00BC1526" w:rsidP="00D509EC">
      <w:pPr>
        <w:jc w:val="both"/>
        <w:rPr>
          <w:b/>
          <w:bCs/>
        </w:rPr>
      </w:pPr>
      <w:r w:rsidRPr="00751AA4">
        <w:rPr>
          <w:b/>
          <w:bCs/>
        </w:rPr>
        <w:t xml:space="preserve">FINDING </w:t>
      </w:r>
      <w:r w:rsidR="00340351">
        <w:rPr>
          <w:b/>
          <w:bCs/>
        </w:rPr>
        <w:t>15</w:t>
      </w:r>
      <w:r w:rsidRPr="00751AA4">
        <w:rPr>
          <w:b/>
          <w:bCs/>
        </w:rPr>
        <w:t xml:space="preserve">: </w:t>
      </w:r>
    </w:p>
    <w:p w14:paraId="74456A41" w14:textId="2C752A31" w:rsidR="00D509EC" w:rsidRPr="00340351" w:rsidRDefault="00751AA4" w:rsidP="00D509EC">
      <w:pPr>
        <w:jc w:val="both"/>
        <w:rPr>
          <w:b/>
        </w:rPr>
      </w:pPr>
      <w:r w:rsidRPr="00340351">
        <w:rPr>
          <w:b/>
        </w:rPr>
        <w:t>The allowance of ADUs on properties will not have a significant impact on the needs of the county for recreational facilities.  Staff finds the proposed amendments are consistent with Goal 8.</w:t>
      </w:r>
    </w:p>
    <w:p w14:paraId="759F4255" w14:textId="77777777" w:rsidR="008A29DA" w:rsidRPr="0065146E" w:rsidRDefault="008A29DA" w:rsidP="00D509EC">
      <w:pPr>
        <w:jc w:val="both"/>
        <w:rPr>
          <w:color w:val="0070C0"/>
        </w:rPr>
      </w:pPr>
    </w:p>
    <w:p w14:paraId="5B5B07B4" w14:textId="77777777" w:rsidR="00751AA4" w:rsidRPr="00751AA4" w:rsidRDefault="00D509EC" w:rsidP="00D509EC">
      <w:pPr>
        <w:jc w:val="both"/>
      </w:pPr>
      <w:r w:rsidRPr="00751AA4">
        <w:t xml:space="preserve">Goal </w:t>
      </w:r>
      <w:r w:rsidR="00751AA4" w:rsidRPr="00751AA4">
        <w:t>9</w:t>
      </w:r>
      <w:r w:rsidRPr="00751AA4">
        <w:t xml:space="preserve">. Economic Development. To provide adequate opportunities throughout the state for a variety of economic activities vital to the health, welfare and prosperity of Oregon's citizens. </w:t>
      </w:r>
    </w:p>
    <w:p w14:paraId="0E9DEE7D" w14:textId="77777777" w:rsidR="00751AA4" w:rsidRPr="00751AA4" w:rsidRDefault="00751AA4" w:rsidP="00D509EC">
      <w:pPr>
        <w:jc w:val="both"/>
      </w:pPr>
    </w:p>
    <w:p w14:paraId="1100EAE7" w14:textId="57851AA9" w:rsidR="00751AA4" w:rsidRPr="00751AA4" w:rsidRDefault="00AC35E0" w:rsidP="00D509EC">
      <w:pPr>
        <w:jc w:val="both"/>
        <w:rPr>
          <w:b/>
          <w:bCs/>
        </w:rPr>
      </w:pPr>
      <w:r w:rsidRPr="00751AA4">
        <w:rPr>
          <w:b/>
          <w:bCs/>
        </w:rPr>
        <w:t xml:space="preserve">FINDING </w:t>
      </w:r>
      <w:r w:rsidR="00340351">
        <w:rPr>
          <w:b/>
          <w:bCs/>
        </w:rPr>
        <w:t>16</w:t>
      </w:r>
      <w:r w:rsidRPr="00751AA4">
        <w:rPr>
          <w:b/>
          <w:bCs/>
        </w:rPr>
        <w:t xml:space="preserve">: </w:t>
      </w:r>
    </w:p>
    <w:p w14:paraId="260A3D45" w14:textId="409AAE0B" w:rsidR="00D509EC" w:rsidRPr="00340351" w:rsidRDefault="00751AA4" w:rsidP="00D509EC">
      <w:pPr>
        <w:jc w:val="both"/>
        <w:rPr>
          <w:b/>
        </w:rPr>
      </w:pPr>
      <w:r w:rsidRPr="00340351">
        <w:rPr>
          <w:b/>
        </w:rPr>
        <w:t>The development of ADUs will provide additional housing opportunities in the county, including housing available for the workforce.  Staff finds that the allowance of ADUs is consistent with Goal 9 as it will support economic development.</w:t>
      </w:r>
    </w:p>
    <w:p w14:paraId="79A285AD" w14:textId="77777777" w:rsidR="00D509EC" w:rsidRPr="0065146E" w:rsidRDefault="00D509EC" w:rsidP="00D509EC">
      <w:pPr>
        <w:jc w:val="both"/>
        <w:rPr>
          <w:color w:val="0070C0"/>
        </w:rPr>
      </w:pPr>
    </w:p>
    <w:p w14:paraId="6AEF34FB" w14:textId="77777777" w:rsidR="00D509EC" w:rsidRPr="00751AA4" w:rsidRDefault="00D509EC" w:rsidP="00D509EC">
      <w:pPr>
        <w:jc w:val="both"/>
      </w:pPr>
      <w:r w:rsidRPr="00751AA4">
        <w:t>Goal 10. Housing. To provide for the housing needs of the citizens of the state.</w:t>
      </w:r>
    </w:p>
    <w:p w14:paraId="7F02A963" w14:textId="77777777" w:rsidR="00751AA4" w:rsidRPr="00751AA4" w:rsidRDefault="00751AA4" w:rsidP="00D509EC">
      <w:pPr>
        <w:jc w:val="both"/>
        <w:rPr>
          <w:b/>
          <w:bCs/>
        </w:rPr>
      </w:pPr>
      <w:bookmarkStart w:id="2" w:name="_Hlk60666456"/>
    </w:p>
    <w:p w14:paraId="21666503" w14:textId="5D978437" w:rsidR="00751AA4" w:rsidRPr="00751AA4" w:rsidRDefault="00AC35E0" w:rsidP="00D509EC">
      <w:pPr>
        <w:jc w:val="both"/>
        <w:rPr>
          <w:b/>
          <w:bCs/>
        </w:rPr>
      </w:pPr>
      <w:r w:rsidRPr="00751AA4">
        <w:rPr>
          <w:b/>
          <w:bCs/>
        </w:rPr>
        <w:t xml:space="preserve">FINDING </w:t>
      </w:r>
      <w:r w:rsidR="00751AA4" w:rsidRPr="00751AA4">
        <w:rPr>
          <w:b/>
          <w:bCs/>
        </w:rPr>
        <w:t>1</w:t>
      </w:r>
      <w:r w:rsidR="00340351">
        <w:rPr>
          <w:b/>
          <w:bCs/>
        </w:rPr>
        <w:t>7</w:t>
      </w:r>
      <w:r w:rsidRPr="00751AA4">
        <w:rPr>
          <w:b/>
          <w:bCs/>
        </w:rPr>
        <w:t xml:space="preserve">: </w:t>
      </w:r>
    </w:p>
    <w:bookmarkEnd w:id="2"/>
    <w:p w14:paraId="75D07A31" w14:textId="61B19236" w:rsidR="00D509EC" w:rsidRPr="00340351" w:rsidRDefault="00751AA4" w:rsidP="00D509EC">
      <w:pPr>
        <w:jc w:val="both"/>
        <w:rPr>
          <w:b/>
        </w:rPr>
      </w:pPr>
      <w:r w:rsidRPr="00340351">
        <w:rPr>
          <w:b/>
        </w:rPr>
        <w:t>Allowance for ADUs in areas zoned for rural residential uses will provide an additional housing option that is not currently available.  Staff finds that the proposed amendments are consistent with and support Goal 10.</w:t>
      </w:r>
    </w:p>
    <w:p w14:paraId="1D8869D7" w14:textId="77777777" w:rsidR="008A29DA" w:rsidRPr="00751AA4" w:rsidRDefault="008A29DA" w:rsidP="00D509EC">
      <w:pPr>
        <w:jc w:val="both"/>
      </w:pPr>
    </w:p>
    <w:p w14:paraId="2D00AF1B" w14:textId="77777777" w:rsidR="00C051AF" w:rsidRPr="00751AA4" w:rsidRDefault="00D509EC" w:rsidP="00D509EC">
      <w:pPr>
        <w:jc w:val="both"/>
      </w:pPr>
      <w:r w:rsidRPr="00751AA4">
        <w:t xml:space="preserve">Goal 11. Public Facilities and Services. To develop a timely, orderly and efficient arraignment of public facilities and services to serve as a framework for urban and rural development. </w:t>
      </w:r>
    </w:p>
    <w:p w14:paraId="51D60643" w14:textId="77777777" w:rsidR="00751AA4" w:rsidRPr="002272CB" w:rsidRDefault="00751AA4" w:rsidP="00D509EC">
      <w:pPr>
        <w:jc w:val="both"/>
        <w:rPr>
          <w:b/>
          <w:bCs/>
        </w:rPr>
      </w:pPr>
    </w:p>
    <w:p w14:paraId="2392D10D" w14:textId="11E27696" w:rsidR="00751AA4" w:rsidRPr="002272CB" w:rsidRDefault="00C051AF" w:rsidP="00D509EC">
      <w:pPr>
        <w:jc w:val="both"/>
        <w:rPr>
          <w:b/>
          <w:bCs/>
        </w:rPr>
      </w:pPr>
      <w:r w:rsidRPr="002272CB">
        <w:rPr>
          <w:b/>
          <w:bCs/>
        </w:rPr>
        <w:t xml:space="preserve">FINDING </w:t>
      </w:r>
      <w:r w:rsidR="00751AA4" w:rsidRPr="002272CB">
        <w:rPr>
          <w:b/>
          <w:bCs/>
        </w:rPr>
        <w:t>1</w:t>
      </w:r>
      <w:r w:rsidR="00340351">
        <w:rPr>
          <w:b/>
          <w:bCs/>
        </w:rPr>
        <w:t>8</w:t>
      </w:r>
      <w:r w:rsidRPr="002272CB">
        <w:rPr>
          <w:b/>
          <w:bCs/>
        </w:rPr>
        <w:t xml:space="preserve">: </w:t>
      </w:r>
    </w:p>
    <w:p w14:paraId="59EC9120" w14:textId="49CBBFA1" w:rsidR="00D509EC" w:rsidRPr="00340351" w:rsidRDefault="00751AA4" w:rsidP="00D509EC">
      <w:pPr>
        <w:jc w:val="both"/>
        <w:rPr>
          <w:b/>
        </w:rPr>
      </w:pPr>
      <w:r w:rsidRPr="00340351">
        <w:rPr>
          <w:b/>
        </w:rPr>
        <w:t xml:space="preserve">SB 391 limits </w:t>
      </w:r>
      <w:r w:rsidR="00B85E05" w:rsidRPr="00340351">
        <w:rPr>
          <w:b/>
        </w:rPr>
        <w:t>ADUs in a number of ways, including location and size.  These limitations are intended, in part, to ensure an additional dwelling constructed under the provisions is truly “accessory” to the existing home.  While it is unknown as to how many ADUs would ultimately be constructed, it is not anticipated that there will be a significant impact on rural public facilities.  Staff finds the proposed amendments are consistent with Goal 11.</w:t>
      </w:r>
    </w:p>
    <w:p w14:paraId="62073506" w14:textId="77777777" w:rsidR="008A29DA" w:rsidRPr="002272CB" w:rsidRDefault="008A29DA" w:rsidP="00D509EC">
      <w:pPr>
        <w:jc w:val="both"/>
      </w:pPr>
    </w:p>
    <w:p w14:paraId="6388650B" w14:textId="06D143F0" w:rsidR="00D509EC" w:rsidRPr="002272CB" w:rsidRDefault="00D509EC" w:rsidP="00D509EC">
      <w:pPr>
        <w:jc w:val="both"/>
      </w:pPr>
      <w:r w:rsidRPr="002272CB">
        <w:t>Goal 12. Transportation. To provide and encourage a safe, convenient and economic transportation system.</w:t>
      </w:r>
    </w:p>
    <w:p w14:paraId="25281107" w14:textId="77777777" w:rsidR="00B85E05" w:rsidRPr="002272CB" w:rsidRDefault="00B85E05" w:rsidP="00D509EC">
      <w:pPr>
        <w:jc w:val="both"/>
      </w:pPr>
    </w:p>
    <w:p w14:paraId="0AE655C0" w14:textId="321BE7C1" w:rsidR="00B85E05" w:rsidRPr="002272CB" w:rsidRDefault="00C37F64" w:rsidP="00D509EC">
      <w:pPr>
        <w:jc w:val="both"/>
        <w:rPr>
          <w:b/>
          <w:bCs/>
        </w:rPr>
      </w:pPr>
      <w:r w:rsidRPr="002272CB">
        <w:rPr>
          <w:b/>
          <w:bCs/>
        </w:rPr>
        <w:t xml:space="preserve">FINDING </w:t>
      </w:r>
      <w:r w:rsidR="00B85E05" w:rsidRPr="002272CB">
        <w:rPr>
          <w:b/>
          <w:bCs/>
        </w:rPr>
        <w:t>1</w:t>
      </w:r>
      <w:r w:rsidR="00340351">
        <w:rPr>
          <w:b/>
          <w:bCs/>
        </w:rPr>
        <w:t>9</w:t>
      </w:r>
      <w:r w:rsidRPr="002272CB">
        <w:rPr>
          <w:b/>
          <w:bCs/>
        </w:rPr>
        <w:t xml:space="preserve">: </w:t>
      </w:r>
    </w:p>
    <w:p w14:paraId="029950D5" w14:textId="2C96696D" w:rsidR="00D509EC" w:rsidRPr="00340351" w:rsidRDefault="00B85E05" w:rsidP="00D509EC">
      <w:pPr>
        <w:jc w:val="both"/>
        <w:rPr>
          <w:b/>
        </w:rPr>
      </w:pPr>
      <w:r w:rsidRPr="00340351">
        <w:rPr>
          <w:b/>
        </w:rPr>
        <w:t xml:space="preserve">Similar to Finding 11, due to the limited nature of ADUs approved in compliance with </w:t>
      </w:r>
      <w:r w:rsidR="002272CB" w:rsidRPr="00340351">
        <w:rPr>
          <w:b/>
        </w:rPr>
        <w:t>SB 391, ADUs are not anticipated to have a significant impact on the county’s transportation system.  Staff finds the proposed amendments are consistent with Goal 12.</w:t>
      </w:r>
    </w:p>
    <w:p w14:paraId="504FD7BA" w14:textId="77777777" w:rsidR="008A29DA" w:rsidRPr="0065146E" w:rsidRDefault="008A29DA" w:rsidP="00D509EC">
      <w:pPr>
        <w:jc w:val="both"/>
        <w:rPr>
          <w:color w:val="0070C0"/>
        </w:rPr>
      </w:pPr>
    </w:p>
    <w:p w14:paraId="4EBEBC31" w14:textId="498A0E35" w:rsidR="00D509EC" w:rsidRPr="002272CB" w:rsidRDefault="00D509EC" w:rsidP="00D509EC">
      <w:pPr>
        <w:jc w:val="both"/>
      </w:pPr>
      <w:r w:rsidRPr="002272CB">
        <w:t>Goal 13. Energy Conservation. To conserve energy.</w:t>
      </w:r>
    </w:p>
    <w:p w14:paraId="2A4E3F03" w14:textId="77777777" w:rsidR="002272CB" w:rsidRDefault="002272CB" w:rsidP="00D509EC">
      <w:pPr>
        <w:jc w:val="both"/>
        <w:rPr>
          <w:b/>
          <w:bCs/>
          <w:color w:val="0070C0"/>
        </w:rPr>
      </w:pPr>
    </w:p>
    <w:p w14:paraId="1F120153" w14:textId="3F1A0BB0" w:rsidR="002272CB" w:rsidRPr="00137B25" w:rsidRDefault="006D1BE0" w:rsidP="00D509EC">
      <w:pPr>
        <w:jc w:val="both"/>
        <w:rPr>
          <w:b/>
          <w:bCs/>
        </w:rPr>
      </w:pPr>
      <w:r w:rsidRPr="00137B25">
        <w:rPr>
          <w:b/>
          <w:bCs/>
        </w:rPr>
        <w:t xml:space="preserve">FINDING </w:t>
      </w:r>
      <w:r w:rsidR="00340351">
        <w:rPr>
          <w:b/>
          <w:bCs/>
        </w:rPr>
        <w:t>20</w:t>
      </w:r>
      <w:r w:rsidRPr="00137B25">
        <w:rPr>
          <w:b/>
          <w:bCs/>
        </w:rPr>
        <w:t xml:space="preserve">: </w:t>
      </w:r>
    </w:p>
    <w:p w14:paraId="06468237" w14:textId="482019F1" w:rsidR="00D509EC" w:rsidRPr="00340351" w:rsidRDefault="002272CB" w:rsidP="00D509EC">
      <w:pPr>
        <w:jc w:val="both"/>
        <w:rPr>
          <w:b/>
        </w:rPr>
      </w:pPr>
      <w:r w:rsidRPr="00340351">
        <w:rPr>
          <w:b/>
        </w:rPr>
        <w:t>While additional rural housing options have the potential to increase vehicle miles traveled, there are no other energy usage impacts of significance.  Considering the restrictions on ADUs around size and distance from the existing home, there are likely to be</w:t>
      </w:r>
      <w:r w:rsidR="00137B25" w:rsidRPr="00340351">
        <w:rPr>
          <w:b/>
        </w:rPr>
        <w:t xml:space="preserve"> efficiencies gained in comparison if two full size homes were constructed to house the same occupants.  Staff finds that the proposed amendments will not significantly increase energy usage and, therefore are not in conflict with Goal 13.</w:t>
      </w:r>
    </w:p>
    <w:p w14:paraId="6E414C62" w14:textId="77777777" w:rsidR="008A29DA" w:rsidRPr="0065146E" w:rsidRDefault="008A29DA" w:rsidP="00D509EC">
      <w:pPr>
        <w:jc w:val="both"/>
        <w:rPr>
          <w:color w:val="0070C0"/>
        </w:rPr>
      </w:pPr>
    </w:p>
    <w:p w14:paraId="59FE3D5D" w14:textId="06832A77" w:rsidR="00D509EC" w:rsidRPr="00137B25" w:rsidRDefault="00D509EC" w:rsidP="00D509EC">
      <w:pPr>
        <w:jc w:val="both"/>
      </w:pPr>
      <w:r w:rsidRPr="00137B25">
        <w:t>Goal 14. Urbanization. To provide for an orderly and efficient transition from rural to urban land use, to accommodate urban population and urban employment inside Urban Growth Boundaries, to ensure efficient use of land and to provide for livable communities.</w:t>
      </w:r>
    </w:p>
    <w:p w14:paraId="7100DB30" w14:textId="77777777" w:rsidR="00137B25" w:rsidRPr="0065146E" w:rsidRDefault="00137B25" w:rsidP="00D509EC">
      <w:pPr>
        <w:jc w:val="both"/>
        <w:rPr>
          <w:color w:val="0070C0"/>
        </w:rPr>
      </w:pPr>
    </w:p>
    <w:p w14:paraId="5F62BBC3" w14:textId="409397DB" w:rsidR="00137B25" w:rsidRPr="00137B25" w:rsidRDefault="00B75D79" w:rsidP="00D509EC">
      <w:pPr>
        <w:jc w:val="both"/>
        <w:rPr>
          <w:b/>
          <w:bCs/>
        </w:rPr>
      </w:pPr>
      <w:r w:rsidRPr="00137B25">
        <w:rPr>
          <w:b/>
          <w:bCs/>
        </w:rPr>
        <w:t xml:space="preserve">FINDING </w:t>
      </w:r>
      <w:r w:rsidR="00340351">
        <w:rPr>
          <w:b/>
          <w:bCs/>
        </w:rPr>
        <w:t>21</w:t>
      </w:r>
      <w:r w:rsidRPr="00137B25">
        <w:rPr>
          <w:b/>
          <w:bCs/>
        </w:rPr>
        <w:t xml:space="preserve">: </w:t>
      </w:r>
    </w:p>
    <w:p w14:paraId="3D201A07" w14:textId="46EDCD88" w:rsidR="00A46AC7" w:rsidRPr="00340351" w:rsidRDefault="00137B25" w:rsidP="00D509EC">
      <w:pPr>
        <w:jc w:val="both"/>
        <w:rPr>
          <w:b/>
        </w:rPr>
      </w:pPr>
      <w:r w:rsidRPr="00340351">
        <w:rPr>
          <w:b/>
        </w:rPr>
        <w:t>The limitations placed on ADUs by SB 391 are intended, in part to maintain the rural character of the land on which they are constructed.  Lot and building size restrictions will limit the impact of ADUs on the surrounding rural lands and will not impede the efficient future transition of land from urban to rural use.  Staff finds that the proposed amendments are consistent with Goal 14.</w:t>
      </w:r>
    </w:p>
    <w:p w14:paraId="20645F96" w14:textId="5ACECE19" w:rsidR="00137B25" w:rsidRDefault="00137B25">
      <w:pPr>
        <w:pStyle w:val="NormalWeb"/>
        <w:rPr>
          <w:b/>
          <w:bCs/>
          <w:u w:val="single"/>
        </w:rPr>
      </w:pPr>
    </w:p>
    <w:p w14:paraId="4AC573F1" w14:textId="48237C47" w:rsidR="00340351" w:rsidRDefault="00340351">
      <w:pPr>
        <w:pStyle w:val="NormalWeb"/>
        <w:rPr>
          <w:b/>
          <w:bCs/>
          <w:u w:val="single"/>
        </w:rPr>
      </w:pPr>
    </w:p>
    <w:p w14:paraId="32CC4A8B" w14:textId="16D0FA5F" w:rsidR="00340351" w:rsidRPr="00340351" w:rsidRDefault="00EE5629" w:rsidP="00340351">
      <w:pPr>
        <w:overflowPunct w:val="0"/>
        <w:autoSpaceDE w:val="0"/>
        <w:autoSpaceDN w:val="0"/>
        <w:adjustRightInd w:val="0"/>
        <w:jc w:val="both"/>
        <w:rPr>
          <w:b/>
          <w:bCs/>
          <w:color w:val="000000"/>
        </w:rPr>
      </w:pPr>
      <w:r>
        <w:rPr>
          <w:b/>
          <w:bCs/>
          <w:color w:val="000000"/>
        </w:rPr>
        <w:lastRenderedPageBreak/>
        <w:t>III</w:t>
      </w:r>
      <w:r w:rsidR="00340351" w:rsidRPr="00340351">
        <w:rPr>
          <w:b/>
          <w:bCs/>
          <w:color w:val="000000"/>
        </w:rPr>
        <w:t>.</w:t>
      </w:r>
      <w:r w:rsidR="00340351" w:rsidRPr="00340351">
        <w:rPr>
          <w:b/>
          <w:bCs/>
          <w:color w:val="000000"/>
        </w:rPr>
        <w:tab/>
        <w:t>Jefferson County Zoning Ordinance, Chapter 8 Amendments</w:t>
      </w:r>
    </w:p>
    <w:p w14:paraId="5A1EDF6A" w14:textId="24DC00FA" w:rsidR="00340351" w:rsidRDefault="00340351" w:rsidP="00340351">
      <w:pPr>
        <w:jc w:val="both"/>
        <w:rPr>
          <w:b/>
          <w:bCs/>
        </w:rPr>
      </w:pPr>
    </w:p>
    <w:p w14:paraId="271E2D4C" w14:textId="3A98149D" w:rsidR="00EE5629" w:rsidRDefault="006E3DB2" w:rsidP="00340351">
      <w:pPr>
        <w:jc w:val="both"/>
        <w:rPr>
          <w:bCs/>
        </w:rPr>
      </w:pPr>
      <w:r w:rsidRPr="006E3DB2">
        <w:rPr>
          <w:bCs/>
        </w:rPr>
        <w:t>SECTION</w:t>
      </w:r>
      <w:r>
        <w:rPr>
          <w:bCs/>
        </w:rPr>
        <w:t xml:space="preserve"> 801 – Authorization to Initiate Amendments</w:t>
      </w:r>
    </w:p>
    <w:p w14:paraId="775BA6D2" w14:textId="6185A330" w:rsidR="006E3DB2" w:rsidRDefault="006E3DB2" w:rsidP="00340351">
      <w:pPr>
        <w:jc w:val="both"/>
        <w:rPr>
          <w:bCs/>
        </w:rPr>
      </w:pPr>
    </w:p>
    <w:p w14:paraId="5ED264AB" w14:textId="3ABC1855" w:rsidR="006E3DB2" w:rsidRPr="006E3DB2" w:rsidRDefault="006E3DB2" w:rsidP="00340351">
      <w:pPr>
        <w:jc w:val="both"/>
        <w:rPr>
          <w:bCs/>
        </w:rPr>
      </w:pPr>
      <w:r>
        <w:rPr>
          <w:bCs/>
        </w:rPr>
        <w:t>A.  An amendment to the text of this Ordinance may be initiated by the Board of Commissioners, the County Planning Commission, or by the Planning Director.</w:t>
      </w:r>
    </w:p>
    <w:p w14:paraId="52BCC3AC" w14:textId="77777777" w:rsidR="00EE5629" w:rsidRDefault="00EE5629" w:rsidP="00340351">
      <w:pPr>
        <w:jc w:val="both"/>
        <w:rPr>
          <w:b/>
          <w:bCs/>
        </w:rPr>
      </w:pPr>
    </w:p>
    <w:p w14:paraId="1584161A" w14:textId="1DC20A92" w:rsidR="00340351" w:rsidRDefault="00340351" w:rsidP="00340351">
      <w:pPr>
        <w:jc w:val="both"/>
        <w:rPr>
          <w:b/>
          <w:bCs/>
        </w:rPr>
      </w:pPr>
      <w:r w:rsidRPr="00137B25">
        <w:rPr>
          <w:b/>
          <w:bCs/>
        </w:rPr>
        <w:t xml:space="preserve">FINDING </w:t>
      </w:r>
      <w:r>
        <w:rPr>
          <w:b/>
          <w:bCs/>
        </w:rPr>
        <w:t>22</w:t>
      </w:r>
      <w:r w:rsidRPr="00137B25">
        <w:rPr>
          <w:b/>
          <w:bCs/>
        </w:rPr>
        <w:t xml:space="preserve">: </w:t>
      </w:r>
    </w:p>
    <w:p w14:paraId="381C4653" w14:textId="3F6EAEA2" w:rsidR="006E3DB2" w:rsidRDefault="006E3DB2" w:rsidP="00340351">
      <w:pPr>
        <w:jc w:val="both"/>
        <w:rPr>
          <w:b/>
          <w:bCs/>
        </w:rPr>
      </w:pPr>
      <w:r>
        <w:rPr>
          <w:b/>
          <w:bCs/>
        </w:rPr>
        <w:t>The proposed amendments are being authorized by the Planning Director.</w:t>
      </w:r>
    </w:p>
    <w:p w14:paraId="142E5BA4" w14:textId="1BD3D9BD" w:rsidR="006E3DB2" w:rsidRDefault="006E3DB2" w:rsidP="00340351">
      <w:pPr>
        <w:jc w:val="both"/>
        <w:rPr>
          <w:b/>
          <w:bCs/>
        </w:rPr>
      </w:pPr>
    </w:p>
    <w:p w14:paraId="14707765" w14:textId="18C4F78E" w:rsidR="006E3DB2" w:rsidRDefault="006E3DB2" w:rsidP="00340351">
      <w:pPr>
        <w:jc w:val="both"/>
        <w:rPr>
          <w:bCs/>
        </w:rPr>
      </w:pPr>
    </w:p>
    <w:p w14:paraId="5759B7EF" w14:textId="04C3D49E" w:rsidR="006E3DB2" w:rsidRDefault="006E3DB2" w:rsidP="00340351">
      <w:pPr>
        <w:jc w:val="both"/>
        <w:rPr>
          <w:bCs/>
        </w:rPr>
      </w:pPr>
      <w:r>
        <w:rPr>
          <w:bCs/>
        </w:rPr>
        <w:t>SECTION 802 – Authorization to Approve or Deny Proposed Amendments</w:t>
      </w:r>
    </w:p>
    <w:p w14:paraId="67C06C5D" w14:textId="26CE9018" w:rsidR="006E3DB2" w:rsidRDefault="006E3DB2" w:rsidP="00340351">
      <w:pPr>
        <w:jc w:val="both"/>
        <w:rPr>
          <w:bCs/>
        </w:rPr>
      </w:pPr>
    </w:p>
    <w:p w14:paraId="5D7AABC7" w14:textId="4A71BE95" w:rsidR="006E3DB2" w:rsidRDefault="006E3DB2" w:rsidP="00340351">
      <w:pPr>
        <w:jc w:val="both"/>
      </w:pPr>
      <w:r>
        <w:t>Proposed amendments will be reviewed by the Planning Commission at one or more public hearings, in accordance with the procedures in Section 903.5. The Planning Commission decision on the proposed amendment will take the form of a recommendation to the Board of Commissioners. The Board of Commissioners will hold a public hearing on the proposed amendment, in accordance with the procedures in Section 903.6, and may approve, deny, or modify the proposed amendment. In the case of an amendment to change an Urban Growth Boundary, the Board of Commissioners and City Council may hold a joint public hearing. Both governing bodies must approve the proposed change in the Urban Growth Boundary for it to be approved.</w:t>
      </w:r>
    </w:p>
    <w:p w14:paraId="08A93997" w14:textId="7AEC3C5E" w:rsidR="006E3DB2" w:rsidRDefault="006E3DB2" w:rsidP="00340351">
      <w:pPr>
        <w:jc w:val="both"/>
      </w:pPr>
    </w:p>
    <w:p w14:paraId="53D4DE74" w14:textId="7F617600" w:rsidR="006E3DB2" w:rsidRDefault="006E3DB2" w:rsidP="00340351">
      <w:pPr>
        <w:jc w:val="both"/>
        <w:rPr>
          <w:b/>
        </w:rPr>
      </w:pPr>
      <w:r w:rsidRPr="006E3DB2">
        <w:rPr>
          <w:b/>
        </w:rPr>
        <w:t>FINDING 23:</w:t>
      </w:r>
      <w:r>
        <w:rPr>
          <w:b/>
        </w:rPr>
        <w:t xml:space="preserve">  </w:t>
      </w:r>
    </w:p>
    <w:p w14:paraId="1EBFFA90" w14:textId="7BE1AF5F" w:rsidR="00340351" w:rsidRPr="00CF7F99" w:rsidRDefault="006E3DB2" w:rsidP="00CF7F99">
      <w:pPr>
        <w:jc w:val="both"/>
        <w:rPr>
          <w:b/>
        </w:rPr>
      </w:pPr>
      <w:r>
        <w:rPr>
          <w:b/>
        </w:rPr>
        <w:t>The purpose of the public hearing before the Planning commission is to review the proposed amendments, provide an opportunity for public comment, and make a recommendation to the Board of Commissioners.</w:t>
      </w:r>
    </w:p>
    <w:p w14:paraId="13532CB0" w14:textId="77777777" w:rsidR="00340351" w:rsidRDefault="00340351">
      <w:pPr>
        <w:pStyle w:val="NormalWeb"/>
        <w:rPr>
          <w:b/>
          <w:bCs/>
          <w:u w:val="single"/>
        </w:rPr>
      </w:pPr>
    </w:p>
    <w:p w14:paraId="5AF3413D" w14:textId="14A53163" w:rsidR="00137B25" w:rsidRPr="00137B25" w:rsidRDefault="00C114CE">
      <w:pPr>
        <w:pStyle w:val="NormalWeb"/>
      </w:pPr>
      <w:r w:rsidRPr="00137B25">
        <w:rPr>
          <w:b/>
          <w:bCs/>
          <w:u w:val="single"/>
        </w:rPr>
        <w:t>CONCLUSION:</w:t>
      </w:r>
      <w:r w:rsidR="006661FF" w:rsidRPr="00137B25">
        <w:t xml:space="preserve">   </w:t>
      </w:r>
    </w:p>
    <w:p w14:paraId="03F3CCA3" w14:textId="3FC93785" w:rsidR="007859C7" w:rsidRPr="00137B25" w:rsidRDefault="00E13C53">
      <w:pPr>
        <w:pStyle w:val="NormalWeb"/>
      </w:pPr>
      <w:r w:rsidRPr="00137B25">
        <w:t>Based on the above findings,</w:t>
      </w:r>
      <w:r w:rsidR="0020674C" w:rsidRPr="00137B25">
        <w:t xml:space="preserve"> </w:t>
      </w:r>
      <w:r w:rsidR="007859C7" w:rsidRPr="00137B25">
        <w:t xml:space="preserve">staff finds </w:t>
      </w:r>
      <w:r w:rsidR="000A74BD" w:rsidRPr="00137B25">
        <w:t xml:space="preserve">the </w:t>
      </w:r>
      <w:r w:rsidR="00123F1D" w:rsidRPr="00137B25">
        <w:t>propo</w:t>
      </w:r>
      <w:r w:rsidR="007859C7" w:rsidRPr="00137B25">
        <w:t xml:space="preserve">sed </w:t>
      </w:r>
      <w:r w:rsidR="00137B25" w:rsidRPr="00137B25">
        <w:t xml:space="preserve">amendments to the Jefferson County Zoning Ordinance, related to ADUs, </w:t>
      </w:r>
      <w:r w:rsidR="007859C7" w:rsidRPr="00137B25">
        <w:t xml:space="preserve">to </w:t>
      </w:r>
      <w:r w:rsidR="000A74BD" w:rsidRPr="00137B25">
        <w:t xml:space="preserve">meet </w:t>
      </w:r>
      <w:r w:rsidR="00123F1D" w:rsidRPr="00137B25">
        <w:t>all applicabl</w:t>
      </w:r>
      <w:r w:rsidR="000A74BD" w:rsidRPr="00137B25">
        <w:t xml:space="preserve">e requirements </w:t>
      </w:r>
      <w:r w:rsidR="00123F1D" w:rsidRPr="00137B25">
        <w:t xml:space="preserve">of </w:t>
      </w:r>
      <w:r w:rsidR="00137B25" w:rsidRPr="00137B25">
        <w:t xml:space="preserve">SB 391, </w:t>
      </w:r>
      <w:r w:rsidR="00123F1D" w:rsidRPr="00137B25">
        <w:t xml:space="preserve">the </w:t>
      </w:r>
      <w:r w:rsidR="00137B25" w:rsidRPr="00137B25">
        <w:t>zoning ordinance</w:t>
      </w:r>
      <w:r w:rsidR="007859C7" w:rsidRPr="00137B25">
        <w:t>, the Jefferson County Comprehensive Plan</w:t>
      </w:r>
      <w:r w:rsidR="00137B25" w:rsidRPr="00137B25">
        <w:t>,</w:t>
      </w:r>
      <w:r w:rsidR="007859C7" w:rsidRPr="00137B25">
        <w:t xml:space="preserve"> and Oregon’s Statewide Planning Goals</w:t>
      </w:r>
      <w:r w:rsidR="000A74BD" w:rsidRPr="00137B25">
        <w:t xml:space="preserve">. </w:t>
      </w:r>
    </w:p>
    <w:p w14:paraId="282B6FB8" w14:textId="7D592900" w:rsidR="00132F5E" w:rsidRDefault="008F04A0">
      <w:pPr>
        <w:overflowPunct w:val="0"/>
        <w:autoSpaceDE w:val="0"/>
        <w:autoSpaceDN w:val="0"/>
        <w:adjustRightInd w:val="0"/>
        <w:ind w:left="720" w:hanging="720"/>
        <w:jc w:val="both"/>
        <w:rPr>
          <w:color w:val="000000"/>
        </w:rPr>
      </w:pPr>
      <w:r>
        <w:rPr>
          <w:color w:val="000000"/>
        </w:rPr>
        <w:t>Respectfully submitted,</w:t>
      </w:r>
    </w:p>
    <w:p w14:paraId="2569AFF3" w14:textId="77777777" w:rsidR="006D3FBC" w:rsidRDefault="006D3FBC">
      <w:pPr>
        <w:overflowPunct w:val="0"/>
        <w:autoSpaceDE w:val="0"/>
        <w:autoSpaceDN w:val="0"/>
        <w:adjustRightInd w:val="0"/>
        <w:ind w:left="720" w:hanging="720"/>
        <w:jc w:val="both"/>
        <w:rPr>
          <w:color w:val="000000"/>
        </w:rPr>
      </w:pPr>
    </w:p>
    <w:p w14:paraId="412E633D" w14:textId="12D6BC21" w:rsidR="00C114CE" w:rsidRPr="008E6379" w:rsidRDefault="008E6379" w:rsidP="008E6379">
      <w:pPr>
        <w:overflowPunct w:val="0"/>
        <w:autoSpaceDE w:val="0"/>
        <w:autoSpaceDN w:val="0"/>
        <w:adjustRightInd w:val="0"/>
        <w:ind w:left="720" w:hanging="720"/>
        <w:jc w:val="both"/>
        <w:rPr>
          <w:color w:val="000000"/>
        </w:rPr>
      </w:pPr>
      <w:r>
        <w:rPr>
          <w:noProof/>
          <w:color w:val="000000"/>
          <w:lang w:eastAsia="en-US"/>
        </w:rPr>
        <w:drawing>
          <wp:inline distT="0" distB="0" distL="0" distR="0" wp14:anchorId="328A09C2" wp14:editId="0F47C5AB">
            <wp:extent cx="1562100" cy="34189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eg"/>
                    <pic:cNvPicPr/>
                  </pic:nvPicPr>
                  <pic:blipFill rotWithShape="1">
                    <a:blip r:embed="rId10" cstate="print">
                      <a:extLst>
                        <a:ext uri="{BEBA8EAE-BF5A-486C-A8C5-ECC9F3942E4B}">
                          <a14:imgProps xmlns:a14="http://schemas.microsoft.com/office/drawing/2010/main">
                            <a14:imgLayer r:embed="rId11">
                              <a14:imgEffect>
                                <a14:brightnessContrast bright="27000"/>
                              </a14:imgEffect>
                            </a14:imgLayer>
                          </a14:imgProps>
                        </a:ext>
                        <a:ext uri="{28A0092B-C50C-407E-A947-70E740481C1C}">
                          <a14:useLocalDpi xmlns:a14="http://schemas.microsoft.com/office/drawing/2010/main" val="0"/>
                        </a:ext>
                      </a:extLst>
                    </a:blip>
                    <a:srcRect l="24679" t="41026" r="32853" b="46581"/>
                    <a:stretch/>
                  </pic:blipFill>
                  <pic:spPr bwMode="auto">
                    <a:xfrm>
                      <a:off x="0" y="0"/>
                      <a:ext cx="1597546" cy="349652"/>
                    </a:xfrm>
                    <a:prstGeom prst="rect">
                      <a:avLst/>
                    </a:prstGeom>
                    <a:ln>
                      <a:noFill/>
                    </a:ln>
                    <a:extLst>
                      <a:ext uri="{53640926-AAD7-44D8-BBD7-CCE9431645EC}">
                        <a14:shadowObscured xmlns:a14="http://schemas.microsoft.com/office/drawing/2010/main"/>
                      </a:ext>
                    </a:extLst>
                  </pic:spPr>
                </pic:pic>
              </a:graphicData>
            </a:graphic>
          </wp:inline>
        </w:drawing>
      </w:r>
      <w:r w:rsidR="00C114CE">
        <w:rPr>
          <w:color w:val="000000"/>
        </w:rPr>
        <w:tab/>
      </w:r>
      <w:r w:rsidR="00C114CE">
        <w:rPr>
          <w:color w:val="000000"/>
        </w:rPr>
        <w:tab/>
      </w:r>
      <w:r w:rsidR="00C114CE">
        <w:rPr>
          <w:color w:val="000000"/>
        </w:rPr>
        <w:tab/>
      </w:r>
      <w:r w:rsidR="00C114CE">
        <w:rPr>
          <w:color w:val="000000"/>
        </w:rPr>
        <w:tab/>
      </w:r>
      <w:r w:rsidR="00C114CE">
        <w:rPr>
          <w:color w:val="000000"/>
        </w:rPr>
        <w:tab/>
      </w:r>
    </w:p>
    <w:p w14:paraId="46122E14" w14:textId="444DD2F3" w:rsidR="008F04A0" w:rsidRDefault="007652AC">
      <w:pPr>
        <w:overflowPunct w:val="0"/>
        <w:autoSpaceDE w:val="0"/>
        <w:autoSpaceDN w:val="0"/>
        <w:adjustRightInd w:val="0"/>
        <w:jc w:val="both"/>
        <w:rPr>
          <w:color w:val="000000"/>
        </w:rPr>
      </w:pPr>
      <w:r>
        <w:rPr>
          <w:noProof/>
          <w:highlight w:val="green"/>
          <w:lang w:eastAsia="en-US"/>
        </w:rPr>
        <mc:AlternateContent>
          <mc:Choice Requires="wps">
            <w:drawing>
              <wp:anchor distT="0" distB="0" distL="114300" distR="114300" simplePos="0" relativeHeight="251658240" behindDoc="0" locked="0" layoutInCell="1" allowOverlap="1" wp14:anchorId="51CA4FE6" wp14:editId="59680DFC">
                <wp:simplePos x="0" y="0"/>
                <wp:positionH relativeFrom="column">
                  <wp:posOffset>4229100</wp:posOffset>
                </wp:positionH>
                <wp:positionV relativeFrom="paragraph">
                  <wp:posOffset>16510</wp:posOffset>
                </wp:positionV>
                <wp:extent cx="1485900" cy="0"/>
                <wp:effectExtent l="9525" t="5080" r="9525" b="1397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EC04E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3pt" to="45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2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"/>
            </w:pict>
          </mc:Fallback>
        </mc:AlternateContent>
      </w:r>
      <w:r>
        <w:rPr>
          <w:noProof/>
          <w:highlight w:val="green"/>
          <w:lang w:eastAsia="en-US"/>
        </w:rPr>
        <mc:AlternateContent>
          <mc:Choice Requires="wps">
            <w:drawing>
              <wp:anchor distT="0" distB="0" distL="114300" distR="114300" simplePos="0" relativeHeight="251657216" behindDoc="0" locked="0" layoutInCell="1" allowOverlap="1" wp14:anchorId="07ED57D0" wp14:editId="374E832E">
                <wp:simplePos x="0" y="0"/>
                <wp:positionH relativeFrom="column">
                  <wp:posOffset>0</wp:posOffset>
                </wp:positionH>
                <wp:positionV relativeFrom="paragraph">
                  <wp:posOffset>16510</wp:posOffset>
                </wp:positionV>
                <wp:extent cx="2286000" cy="0"/>
                <wp:effectExtent l="9525" t="5080" r="9525" b="139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BCBD6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18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Wc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"/>
            </w:pict>
          </mc:Fallback>
        </mc:AlternateContent>
      </w:r>
      <w:r w:rsidR="00137B25">
        <w:rPr>
          <w:color w:val="000000"/>
        </w:rPr>
        <w:t>Scott Edelman</w:t>
      </w:r>
      <w:r w:rsidR="008F04A0">
        <w:rPr>
          <w:color w:val="000000"/>
        </w:rPr>
        <w:tab/>
      </w:r>
      <w:r w:rsidR="008F04A0">
        <w:rPr>
          <w:color w:val="000000"/>
        </w:rPr>
        <w:tab/>
      </w:r>
      <w:r w:rsidR="008F04A0">
        <w:rPr>
          <w:color w:val="000000"/>
        </w:rPr>
        <w:tab/>
      </w:r>
      <w:r w:rsidR="008F04A0">
        <w:rPr>
          <w:color w:val="000000"/>
        </w:rPr>
        <w:tab/>
      </w:r>
      <w:r w:rsidR="008F04A0">
        <w:rPr>
          <w:color w:val="000000"/>
        </w:rPr>
        <w:tab/>
      </w:r>
      <w:r w:rsidR="008F04A0">
        <w:rPr>
          <w:color w:val="000000"/>
        </w:rPr>
        <w:tab/>
      </w:r>
      <w:r w:rsidR="008F04A0">
        <w:rPr>
          <w:color w:val="000000"/>
        </w:rPr>
        <w:tab/>
        <w:t xml:space="preserve">      Date</w:t>
      </w:r>
    </w:p>
    <w:p w14:paraId="2BA1E770" w14:textId="2CB65619" w:rsidR="00C114CE" w:rsidRDefault="00137B25">
      <w:pPr>
        <w:overflowPunct w:val="0"/>
        <w:autoSpaceDE w:val="0"/>
        <w:autoSpaceDN w:val="0"/>
        <w:adjustRightInd w:val="0"/>
        <w:jc w:val="both"/>
        <w:rPr>
          <w:color w:val="000000"/>
          <w:szCs w:val="20"/>
        </w:rPr>
      </w:pPr>
      <w:r>
        <w:rPr>
          <w:color w:val="000000"/>
        </w:rPr>
        <w:t xml:space="preserve">Community </w:t>
      </w:r>
      <w:r w:rsidR="00FD5610">
        <w:rPr>
          <w:color w:val="000000"/>
        </w:rPr>
        <w:t>Director</w:t>
      </w:r>
      <w:r w:rsidR="00C114CE">
        <w:rPr>
          <w:color w:val="000000"/>
        </w:rPr>
        <w:tab/>
      </w:r>
      <w:r w:rsidR="00C114CE">
        <w:rPr>
          <w:color w:val="000000"/>
        </w:rPr>
        <w:tab/>
      </w:r>
      <w:r w:rsidR="00C114CE">
        <w:rPr>
          <w:color w:val="000000"/>
        </w:rPr>
        <w:tab/>
      </w:r>
      <w:r w:rsidR="00C114CE">
        <w:rPr>
          <w:color w:val="000000"/>
        </w:rPr>
        <w:tab/>
      </w:r>
      <w:r w:rsidR="00C114CE">
        <w:rPr>
          <w:color w:val="000000"/>
        </w:rPr>
        <w:tab/>
      </w:r>
      <w:r w:rsidR="00C114CE">
        <w:rPr>
          <w:color w:val="000000"/>
        </w:rPr>
        <w:tab/>
        <w:t xml:space="preserve">   </w:t>
      </w:r>
    </w:p>
    <w:p w14:paraId="0E2D7A80" w14:textId="55B4A260" w:rsidR="008F04A0" w:rsidRDefault="008F04A0" w:rsidP="00AF7E91">
      <w:pPr>
        <w:overflowPunct w:val="0"/>
        <w:autoSpaceDE w:val="0"/>
        <w:autoSpaceDN w:val="0"/>
        <w:adjustRightInd w:val="0"/>
        <w:jc w:val="both"/>
      </w:pPr>
      <w:r>
        <w:t>Jefferson County</w:t>
      </w:r>
    </w:p>
    <w:p w14:paraId="19D99ADC" w14:textId="4C16AD22" w:rsidR="00AD1DB5" w:rsidRDefault="00AD1DB5" w:rsidP="00AF7E91">
      <w:pPr>
        <w:overflowPunct w:val="0"/>
        <w:autoSpaceDE w:val="0"/>
        <w:autoSpaceDN w:val="0"/>
        <w:adjustRightInd w:val="0"/>
        <w:jc w:val="both"/>
      </w:pPr>
      <w:bookmarkStart w:id="3" w:name="_GoBack"/>
      <w:bookmarkEnd w:id="3"/>
    </w:p>
    <w:p w14:paraId="6A431179" w14:textId="1AEB2CB0" w:rsidR="00137B25" w:rsidRDefault="00137B25" w:rsidP="00AF7E91">
      <w:pPr>
        <w:overflowPunct w:val="0"/>
        <w:autoSpaceDE w:val="0"/>
        <w:autoSpaceDN w:val="0"/>
        <w:adjustRightInd w:val="0"/>
        <w:jc w:val="both"/>
      </w:pPr>
    </w:p>
    <w:p w14:paraId="4B1E2F55" w14:textId="44273BE9" w:rsidR="00137B25" w:rsidRPr="00137B25" w:rsidRDefault="00137B25" w:rsidP="00AF7E91">
      <w:pPr>
        <w:overflowPunct w:val="0"/>
        <w:autoSpaceDE w:val="0"/>
        <w:autoSpaceDN w:val="0"/>
        <w:adjustRightInd w:val="0"/>
        <w:jc w:val="both"/>
        <w:rPr>
          <w:u w:val="single"/>
        </w:rPr>
      </w:pPr>
      <w:r w:rsidRPr="00137B25">
        <w:rPr>
          <w:u w:val="single"/>
        </w:rPr>
        <w:t>EXHIBITS:</w:t>
      </w:r>
    </w:p>
    <w:p w14:paraId="30322732" w14:textId="77777777" w:rsidR="00137B25" w:rsidRDefault="00137B25" w:rsidP="00AF7E91">
      <w:pPr>
        <w:overflowPunct w:val="0"/>
        <w:autoSpaceDE w:val="0"/>
        <w:autoSpaceDN w:val="0"/>
        <w:adjustRightInd w:val="0"/>
        <w:jc w:val="both"/>
      </w:pPr>
    </w:p>
    <w:p w14:paraId="1CFCC892" w14:textId="16F09E7A" w:rsidR="00AD1DB5" w:rsidRDefault="00AD1DB5" w:rsidP="00AF7E91">
      <w:pPr>
        <w:overflowPunct w:val="0"/>
        <w:autoSpaceDE w:val="0"/>
        <w:autoSpaceDN w:val="0"/>
        <w:adjustRightInd w:val="0"/>
        <w:jc w:val="both"/>
      </w:pPr>
      <w:r w:rsidRPr="00137B25">
        <w:t xml:space="preserve">Exhibit </w:t>
      </w:r>
      <w:proofErr w:type="gramStart"/>
      <w:r w:rsidRPr="00137B25">
        <w:t>A</w:t>
      </w:r>
      <w:proofErr w:type="gramEnd"/>
      <w:r w:rsidRPr="00137B25">
        <w:t xml:space="preserve"> – </w:t>
      </w:r>
      <w:r w:rsidR="00137B25">
        <w:t>Proposed Amendments to the Jefferson County Zoning Ordinance</w:t>
      </w:r>
    </w:p>
    <w:p w14:paraId="27FC75A7" w14:textId="77E3ECC7" w:rsidR="00137B25" w:rsidRDefault="00137B25" w:rsidP="00AF7E91">
      <w:pPr>
        <w:overflowPunct w:val="0"/>
        <w:autoSpaceDE w:val="0"/>
        <w:autoSpaceDN w:val="0"/>
        <w:adjustRightInd w:val="0"/>
        <w:jc w:val="both"/>
      </w:pPr>
    </w:p>
    <w:p w14:paraId="7DFF87F9" w14:textId="0EBBCFAD" w:rsidR="00137B25" w:rsidRPr="00137B25" w:rsidRDefault="00137B25" w:rsidP="00AF7E91">
      <w:pPr>
        <w:overflowPunct w:val="0"/>
        <w:autoSpaceDE w:val="0"/>
        <w:autoSpaceDN w:val="0"/>
        <w:adjustRightInd w:val="0"/>
        <w:jc w:val="both"/>
        <w:rPr>
          <w:color w:val="000000"/>
        </w:rPr>
      </w:pPr>
      <w:r>
        <w:t xml:space="preserve">Exhibit B – </w:t>
      </w:r>
      <w:r w:rsidR="005F4180" w:rsidRPr="005F4180">
        <w:rPr>
          <w:bCs/>
        </w:rPr>
        <w:t>Oregon Revised Statute (ORS) 215.495</w:t>
      </w:r>
    </w:p>
    <w:sectPr w:rsidR="00137B25" w:rsidRPr="00137B25" w:rsidSect="002751E3">
      <w:footerReference w:type="even" r:id="rId12"/>
      <w:footerReference w:type="default" r:id="rId13"/>
      <w:pgSz w:w="12240" w:h="15840"/>
      <w:pgMar w:top="1440" w:right="1440" w:bottom="72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3A74B" w14:textId="77777777" w:rsidR="00767A7D" w:rsidRDefault="00767A7D">
      <w:r>
        <w:separator/>
      </w:r>
    </w:p>
  </w:endnote>
  <w:endnote w:type="continuationSeparator" w:id="0">
    <w:p w14:paraId="0FA226DB" w14:textId="77777777" w:rsidR="00767A7D" w:rsidRDefault="0076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oudy Stout">
    <w:panose1 w:val="0202090407030B0204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DAA91" w14:textId="77777777" w:rsidR="00767A7D" w:rsidRDefault="00767A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855B89" w14:textId="77777777" w:rsidR="00767A7D" w:rsidRDefault="00767A7D">
    <w:pPr>
      <w:pStyle w:val="Footer"/>
      <w:ind w:right="360"/>
    </w:pPr>
  </w:p>
  <w:p w14:paraId="03156EF7" w14:textId="77777777" w:rsidR="00767A7D" w:rsidRDefault="00767A7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409C4" w14:textId="77777777" w:rsidR="00767A7D" w:rsidRDefault="00767A7D">
    <w:pPr>
      <w:pStyle w:val="Footer"/>
      <w:framePr w:wrap="around" w:vAnchor="text" w:hAnchor="margin" w:xAlign="right" w:y="1"/>
      <w:rPr>
        <w:rStyle w:val="PageNumber"/>
      </w:rPr>
    </w:pPr>
  </w:p>
  <w:p w14:paraId="7D978130" w14:textId="77777777" w:rsidR="00767A7D" w:rsidRDefault="00767A7D">
    <w:pPr>
      <w:pStyle w:val="Footer"/>
      <w:ind w:right="360"/>
      <w:rPr>
        <w:sz w:val="20"/>
      </w:rPr>
    </w:pPr>
  </w:p>
  <w:p w14:paraId="3843F83D" w14:textId="22BDDEEE" w:rsidR="00767A7D" w:rsidRPr="00164319" w:rsidRDefault="00767A7D">
    <w:pPr>
      <w:pStyle w:val="Footer"/>
      <w:ind w:right="360"/>
      <w:rPr>
        <w:sz w:val="20"/>
        <w:szCs w:val="20"/>
      </w:rPr>
    </w:pPr>
    <w:r w:rsidRPr="00CF116D">
      <w:rPr>
        <w:sz w:val="20"/>
      </w:rPr>
      <w:t xml:space="preserve">Casefile </w:t>
    </w:r>
    <w:r>
      <w:rPr>
        <w:sz w:val="20"/>
      </w:rPr>
      <w:t>22</w:t>
    </w:r>
    <w:r w:rsidRPr="00CF116D">
      <w:rPr>
        <w:sz w:val="20"/>
      </w:rPr>
      <w:t>-</w:t>
    </w:r>
    <w:r>
      <w:rPr>
        <w:sz w:val="20"/>
      </w:rPr>
      <w:t>PA</w:t>
    </w:r>
    <w:r w:rsidRPr="00CF116D">
      <w:rPr>
        <w:sz w:val="20"/>
      </w:rPr>
      <w:t>-0</w:t>
    </w:r>
    <w:r>
      <w:rPr>
        <w:sz w:val="20"/>
      </w:rPr>
      <w:t xml:space="preserve">1 (Accessory Dwelling Units) </w:t>
    </w:r>
    <w:r w:rsidRPr="00CF116D">
      <w:rPr>
        <w:sz w:val="20"/>
      </w:rPr>
      <w:t>Staff Report</w:t>
    </w:r>
    <w:r>
      <w:rPr>
        <w:sz w:val="20"/>
      </w:rPr>
      <w:tab/>
    </w:r>
    <w:r>
      <w:rPr>
        <w:sz w:val="20"/>
      </w:rPr>
      <w:tab/>
    </w:r>
    <w:r w:rsidRPr="00164319">
      <w:rPr>
        <w:rStyle w:val="PageNumber"/>
        <w:sz w:val="20"/>
        <w:szCs w:val="20"/>
      </w:rPr>
      <w:fldChar w:fldCharType="begin"/>
    </w:r>
    <w:r w:rsidRPr="00164319">
      <w:rPr>
        <w:rStyle w:val="PageNumber"/>
        <w:sz w:val="20"/>
        <w:szCs w:val="20"/>
      </w:rPr>
      <w:instrText xml:space="preserve"> PAGE </w:instrText>
    </w:r>
    <w:r w:rsidRPr="00164319">
      <w:rPr>
        <w:rStyle w:val="PageNumber"/>
        <w:sz w:val="20"/>
        <w:szCs w:val="20"/>
      </w:rPr>
      <w:fldChar w:fldCharType="separate"/>
    </w:r>
    <w:r w:rsidR="008E6379">
      <w:rPr>
        <w:rStyle w:val="PageNumber"/>
        <w:noProof/>
        <w:sz w:val="20"/>
        <w:szCs w:val="20"/>
      </w:rPr>
      <w:t>9</w:t>
    </w:r>
    <w:r w:rsidRPr="00164319">
      <w:rPr>
        <w:rStyle w:val="PageNumber"/>
        <w:sz w:val="20"/>
        <w:szCs w:val="20"/>
      </w:rPr>
      <w:fldChar w:fldCharType="end"/>
    </w:r>
  </w:p>
  <w:p w14:paraId="229701EC" w14:textId="77777777" w:rsidR="00767A7D" w:rsidRDefault="00767A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D32DF" w14:textId="77777777" w:rsidR="00767A7D" w:rsidRDefault="00767A7D">
      <w:r>
        <w:separator/>
      </w:r>
    </w:p>
  </w:footnote>
  <w:footnote w:type="continuationSeparator" w:id="0">
    <w:p w14:paraId="06C1A7C0" w14:textId="77777777" w:rsidR="00767A7D" w:rsidRDefault="00767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3CD910"/>
    <w:lvl w:ilvl="0">
      <w:numFmt w:val="decimal"/>
      <w:lvlText w:val="*"/>
      <w:lvlJc w:val="left"/>
      <w:pPr>
        <w:ind w:left="0" w:firstLine="0"/>
      </w:pPr>
    </w:lvl>
  </w:abstractNum>
  <w:abstractNum w:abstractNumId="1" w15:restartNumberingAfterBreak="0">
    <w:nsid w:val="003B04DA"/>
    <w:multiLevelType w:val="hybridMultilevel"/>
    <w:tmpl w:val="F0408F36"/>
    <w:lvl w:ilvl="0" w:tplc="C02E1CEC">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CB2D96"/>
    <w:multiLevelType w:val="hybridMultilevel"/>
    <w:tmpl w:val="6954358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5F4951"/>
    <w:multiLevelType w:val="hybridMultilevel"/>
    <w:tmpl w:val="8236DE08"/>
    <w:lvl w:ilvl="0" w:tplc="6AB40296">
      <w:start w:val="1"/>
      <w:numFmt w:val="lowerLetter"/>
      <w:lvlText w:val="%1."/>
      <w:lvlJc w:val="left"/>
      <w:pPr>
        <w:tabs>
          <w:tab w:val="num" w:pos="3600"/>
        </w:tabs>
        <w:ind w:left="3600" w:hanging="660"/>
      </w:pPr>
      <w:rPr>
        <w:rFonts w:hint="default"/>
      </w:rPr>
    </w:lvl>
    <w:lvl w:ilvl="1" w:tplc="04090019" w:tentative="1">
      <w:start w:val="1"/>
      <w:numFmt w:val="lowerLetter"/>
      <w:lvlText w:val="%2."/>
      <w:lvlJc w:val="left"/>
      <w:pPr>
        <w:tabs>
          <w:tab w:val="num" w:pos="4020"/>
        </w:tabs>
        <w:ind w:left="4020" w:hanging="360"/>
      </w:pPr>
    </w:lvl>
    <w:lvl w:ilvl="2" w:tplc="0409001B" w:tentative="1">
      <w:start w:val="1"/>
      <w:numFmt w:val="lowerRoman"/>
      <w:lvlText w:val="%3."/>
      <w:lvlJc w:val="right"/>
      <w:pPr>
        <w:tabs>
          <w:tab w:val="num" w:pos="4740"/>
        </w:tabs>
        <w:ind w:left="4740" w:hanging="180"/>
      </w:pPr>
    </w:lvl>
    <w:lvl w:ilvl="3" w:tplc="0409000F" w:tentative="1">
      <w:start w:val="1"/>
      <w:numFmt w:val="decimal"/>
      <w:lvlText w:val="%4."/>
      <w:lvlJc w:val="left"/>
      <w:pPr>
        <w:tabs>
          <w:tab w:val="num" w:pos="5460"/>
        </w:tabs>
        <w:ind w:left="5460" w:hanging="360"/>
      </w:pPr>
    </w:lvl>
    <w:lvl w:ilvl="4" w:tplc="04090019" w:tentative="1">
      <w:start w:val="1"/>
      <w:numFmt w:val="lowerLetter"/>
      <w:lvlText w:val="%5."/>
      <w:lvlJc w:val="left"/>
      <w:pPr>
        <w:tabs>
          <w:tab w:val="num" w:pos="6180"/>
        </w:tabs>
        <w:ind w:left="6180" w:hanging="360"/>
      </w:pPr>
    </w:lvl>
    <w:lvl w:ilvl="5" w:tplc="0409001B" w:tentative="1">
      <w:start w:val="1"/>
      <w:numFmt w:val="lowerRoman"/>
      <w:lvlText w:val="%6."/>
      <w:lvlJc w:val="right"/>
      <w:pPr>
        <w:tabs>
          <w:tab w:val="num" w:pos="6900"/>
        </w:tabs>
        <w:ind w:left="6900" w:hanging="180"/>
      </w:pPr>
    </w:lvl>
    <w:lvl w:ilvl="6" w:tplc="0409000F" w:tentative="1">
      <w:start w:val="1"/>
      <w:numFmt w:val="decimal"/>
      <w:lvlText w:val="%7."/>
      <w:lvlJc w:val="left"/>
      <w:pPr>
        <w:tabs>
          <w:tab w:val="num" w:pos="7620"/>
        </w:tabs>
        <w:ind w:left="7620" w:hanging="360"/>
      </w:pPr>
    </w:lvl>
    <w:lvl w:ilvl="7" w:tplc="04090019" w:tentative="1">
      <w:start w:val="1"/>
      <w:numFmt w:val="lowerLetter"/>
      <w:lvlText w:val="%8."/>
      <w:lvlJc w:val="left"/>
      <w:pPr>
        <w:tabs>
          <w:tab w:val="num" w:pos="8340"/>
        </w:tabs>
        <w:ind w:left="8340" w:hanging="360"/>
      </w:pPr>
    </w:lvl>
    <w:lvl w:ilvl="8" w:tplc="0409001B" w:tentative="1">
      <w:start w:val="1"/>
      <w:numFmt w:val="lowerRoman"/>
      <w:lvlText w:val="%9."/>
      <w:lvlJc w:val="right"/>
      <w:pPr>
        <w:tabs>
          <w:tab w:val="num" w:pos="9060"/>
        </w:tabs>
        <w:ind w:left="9060" w:hanging="180"/>
      </w:pPr>
    </w:lvl>
  </w:abstractNum>
  <w:abstractNum w:abstractNumId="4" w15:restartNumberingAfterBreak="0">
    <w:nsid w:val="2AEC496C"/>
    <w:multiLevelType w:val="hybridMultilevel"/>
    <w:tmpl w:val="4BF2D09A"/>
    <w:lvl w:ilvl="0" w:tplc="1C625B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031A1F"/>
    <w:multiLevelType w:val="hybridMultilevel"/>
    <w:tmpl w:val="05921D3C"/>
    <w:lvl w:ilvl="0" w:tplc="91F619B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543B19"/>
    <w:multiLevelType w:val="hybridMultilevel"/>
    <w:tmpl w:val="9BB603B6"/>
    <w:lvl w:ilvl="0" w:tplc="F5CAEE7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29D7820"/>
    <w:multiLevelType w:val="hybridMultilevel"/>
    <w:tmpl w:val="884C2AE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B464C4"/>
    <w:multiLevelType w:val="hybridMultilevel"/>
    <w:tmpl w:val="7DB059B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E71A71"/>
    <w:multiLevelType w:val="hybridMultilevel"/>
    <w:tmpl w:val="AE7C469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573CA8"/>
    <w:multiLevelType w:val="hybridMultilevel"/>
    <w:tmpl w:val="601C9108"/>
    <w:lvl w:ilvl="0" w:tplc="10FC0D20">
      <w:start w:val="3"/>
      <w:numFmt w:val="lowerRoman"/>
      <w:lvlText w:val="(%1)"/>
      <w:lvlJc w:val="left"/>
      <w:pPr>
        <w:tabs>
          <w:tab w:val="num" w:pos="2160"/>
        </w:tabs>
        <w:ind w:left="2160" w:hanging="720"/>
      </w:pPr>
      <w:rPr>
        <w:rFonts w:hint="default"/>
      </w:rPr>
    </w:lvl>
    <w:lvl w:ilvl="1" w:tplc="66646F3C">
      <w:start w:val="3"/>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53102FE"/>
    <w:multiLevelType w:val="hybridMultilevel"/>
    <w:tmpl w:val="87E03A50"/>
    <w:lvl w:ilvl="0" w:tplc="B8481524">
      <w:start w:val="1"/>
      <w:numFmt w:val="lowerRoman"/>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B1F0673"/>
    <w:multiLevelType w:val="hybridMultilevel"/>
    <w:tmpl w:val="751AEA14"/>
    <w:lvl w:ilvl="0" w:tplc="27E28952">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EC1153"/>
    <w:multiLevelType w:val="hybridMultilevel"/>
    <w:tmpl w:val="C4CA2BA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7B3700"/>
    <w:multiLevelType w:val="hybridMultilevel"/>
    <w:tmpl w:val="3E9429BE"/>
    <w:lvl w:ilvl="0" w:tplc="F5649DAC">
      <w:start w:val="1"/>
      <w:numFmt w:val="lowerLetter"/>
      <w:lvlText w:val="%1."/>
      <w:lvlJc w:val="left"/>
      <w:pPr>
        <w:tabs>
          <w:tab w:val="num" w:pos="2160"/>
        </w:tabs>
        <w:ind w:left="2160" w:hanging="720"/>
      </w:pPr>
      <w:rPr>
        <w:rFonts w:hint="default"/>
      </w:rPr>
    </w:lvl>
    <w:lvl w:ilvl="1" w:tplc="6B4CBC82">
      <w:start w:val="2"/>
      <w:numFmt w:val="decimal"/>
      <w:lvlText w:val="%2."/>
      <w:lvlJc w:val="left"/>
      <w:pPr>
        <w:tabs>
          <w:tab w:val="num" w:pos="2520"/>
        </w:tabs>
        <w:ind w:left="2520" w:hanging="360"/>
      </w:pPr>
      <w:rPr>
        <w:rFonts w:hint="default"/>
      </w:rPr>
    </w:lvl>
    <w:lvl w:ilvl="2" w:tplc="C6FC4FAC">
      <w:start w:val="2"/>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B8E63AB"/>
    <w:multiLevelType w:val="hybridMultilevel"/>
    <w:tmpl w:val="4FBEB3AC"/>
    <w:lvl w:ilvl="0" w:tplc="E858FA56">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F1C4A03"/>
    <w:multiLevelType w:val="hybridMultilevel"/>
    <w:tmpl w:val="9B5ED2E0"/>
    <w:lvl w:ilvl="0" w:tplc="231AF90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565603"/>
    <w:multiLevelType w:val="hybridMultilevel"/>
    <w:tmpl w:val="590203E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E10068"/>
    <w:multiLevelType w:val="hybridMultilevel"/>
    <w:tmpl w:val="D710FAE8"/>
    <w:lvl w:ilvl="0" w:tplc="81D6728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A2781E"/>
    <w:multiLevelType w:val="hybridMultilevel"/>
    <w:tmpl w:val="51D008D2"/>
    <w:lvl w:ilvl="0" w:tplc="5F2A57C4">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BF126FD"/>
    <w:multiLevelType w:val="hybridMultilevel"/>
    <w:tmpl w:val="D910D67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7"/>
  </w:num>
  <w:num w:numId="4">
    <w:abstractNumId w:val="3"/>
  </w:num>
  <w:num w:numId="5">
    <w:abstractNumId w:val="8"/>
  </w:num>
  <w:num w:numId="6">
    <w:abstractNumId w:val="9"/>
  </w:num>
  <w:num w:numId="7">
    <w:abstractNumId w:val="19"/>
  </w:num>
  <w:num w:numId="8">
    <w:abstractNumId w:val="11"/>
  </w:num>
  <w:num w:numId="9">
    <w:abstractNumId w:val="6"/>
  </w:num>
  <w:num w:numId="10">
    <w:abstractNumId w:val="10"/>
  </w:num>
  <w:num w:numId="11">
    <w:abstractNumId w:val="18"/>
  </w:num>
  <w:num w:numId="12">
    <w:abstractNumId w:val="4"/>
  </w:num>
  <w:num w:numId="13">
    <w:abstractNumId w:val="5"/>
  </w:num>
  <w:num w:numId="14">
    <w:abstractNumId w:val="1"/>
  </w:num>
  <w:num w:numId="15">
    <w:abstractNumId w:val="16"/>
  </w:num>
  <w:num w:numId="16">
    <w:abstractNumId w:val="12"/>
  </w:num>
  <w:num w:numId="17">
    <w:abstractNumId w:val="17"/>
  </w:num>
  <w:num w:numId="18">
    <w:abstractNumId w:val="14"/>
  </w:num>
  <w:num w:numId="19">
    <w:abstractNumId w:val="13"/>
  </w:num>
  <w:num w:numId="20">
    <w:abstractNumId w:val="2"/>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16"/>
    <w:rsid w:val="00006DC0"/>
    <w:rsid w:val="00007712"/>
    <w:rsid w:val="0003624A"/>
    <w:rsid w:val="00037E5D"/>
    <w:rsid w:val="00066D01"/>
    <w:rsid w:val="000670EB"/>
    <w:rsid w:val="00070435"/>
    <w:rsid w:val="00080179"/>
    <w:rsid w:val="00091345"/>
    <w:rsid w:val="000A29D0"/>
    <w:rsid w:val="000A346E"/>
    <w:rsid w:val="000A6C5B"/>
    <w:rsid w:val="000A74BD"/>
    <w:rsid w:val="000A7B79"/>
    <w:rsid w:val="000B0829"/>
    <w:rsid w:val="000D6CEB"/>
    <w:rsid w:val="00100A5F"/>
    <w:rsid w:val="00100AD8"/>
    <w:rsid w:val="001028DE"/>
    <w:rsid w:val="00104790"/>
    <w:rsid w:val="00107312"/>
    <w:rsid w:val="00107CE4"/>
    <w:rsid w:val="0011781B"/>
    <w:rsid w:val="001219AC"/>
    <w:rsid w:val="0012339C"/>
    <w:rsid w:val="00123F1D"/>
    <w:rsid w:val="001265F8"/>
    <w:rsid w:val="0013190E"/>
    <w:rsid w:val="0013226E"/>
    <w:rsid w:val="001327AA"/>
    <w:rsid w:val="00132F5E"/>
    <w:rsid w:val="00137217"/>
    <w:rsid w:val="00137B25"/>
    <w:rsid w:val="001402F8"/>
    <w:rsid w:val="001408A1"/>
    <w:rsid w:val="00141F70"/>
    <w:rsid w:val="001423B3"/>
    <w:rsid w:val="00145F72"/>
    <w:rsid w:val="00150989"/>
    <w:rsid w:val="001533AE"/>
    <w:rsid w:val="00153E11"/>
    <w:rsid w:val="00154A6C"/>
    <w:rsid w:val="0016203A"/>
    <w:rsid w:val="00164319"/>
    <w:rsid w:val="001645B8"/>
    <w:rsid w:val="00166AA9"/>
    <w:rsid w:val="00166F1A"/>
    <w:rsid w:val="00181A85"/>
    <w:rsid w:val="001A0096"/>
    <w:rsid w:val="001A15FF"/>
    <w:rsid w:val="001A7103"/>
    <w:rsid w:val="001A7491"/>
    <w:rsid w:val="001B4629"/>
    <w:rsid w:val="001C5537"/>
    <w:rsid w:val="001C68A3"/>
    <w:rsid w:val="001E072D"/>
    <w:rsid w:val="001E32AD"/>
    <w:rsid w:val="001E33B0"/>
    <w:rsid w:val="001E6445"/>
    <w:rsid w:val="001F0C40"/>
    <w:rsid w:val="001F6D89"/>
    <w:rsid w:val="002025F7"/>
    <w:rsid w:val="00202DA6"/>
    <w:rsid w:val="0020674C"/>
    <w:rsid w:val="00212A9F"/>
    <w:rsid w:val="00220881"/>
    <w:rsid w:val="002272CB"/>
    <w:rsid w:val="002301E3"/>
    <w:rsid w:val="00231E1B"/>
    <w:rsid w:val="00235168"/>
    <w:rsid w:val="0024443F"/>
    <w:rsid w:val="00246A6A"/>
    <w:rsid w:val="00246C6B"/>
    <w:rsid w:val="0025245E"/>
    <w:rsid w:val="00252D56"/>
    <w:rsid w:val="002546FC"/>
    <w:rsid w:val="00262D88"/>
    <w:rsid w:val="00263629"/>
    <w:rsid w:val="00264534"/>
    <w:rsid w:val="00264B0E"/>
    <w:rsid w:val="002672F8"/>
    <w:rsid w:val="00271549"/>
    <w:rsid w:val="00272FB4"/>
    <w:rsid w:val="002751E3"/>
    <w:rsid w:val="00280FEE"/>
    <w:rsid w:val="002825C8"/>
    <w:rsid w:val="00284B27"/>
    <w:rsid w:val="00284C29"/>
    <w:rsid w:val="002904D1"/>
    <w:rsid w:val="00294523"/>
    <w:rsid w:val="00297562"/>
    <w:rsid w:val="002A02A1"/>
    <w:rsid w:val="002A21B6"/>
    <w:rsid w:val="002C66A0"/>
    <w:rsid w:val="002D2FC2"/>
    <w:rsid w:val="002D3595"/>
    <w:rsid w:val="002D476B"/>
    <w:rsid w:val="002E0DD7"/>
    <w:rsid w:val="002E37FF"/>
    <w:rsid w:val="002E7C8E"/>
    <w:rsid w:val="002F262A"/>
    <w:rsid w:val="002F2EF7"/>
    <w:rsid w:val="002F6C9A"/>
    <w:rsid w:val="002F72CA"/>
    <w:rsid w:val="003019BD"/>
    <w:rsid w:val="003104C9"/>
    <w:rsid w:val="00312F6F"/>
    <w:rsid w:val="00315A3E"/>
    <w:rsid w:val="00317479"/>
    <w:rsid w:val="00322498"/>
    <w:rsid w:val="00327292"/>
    <w:rsid w:val="0033696B"/>
    <w:rsid w:val="00340351"/>
    <w:rsid w:val="0034263B"/>
    <w:rsid w:val="0034746A"/>
    <w:rsid w:val="0035431F"/>
    <w:rsid w:val="00354825"/>
    <w:rsid w:val="00354B27"/>
    <w:rsid w:val="00357434"/>
    <w:rsid w:val="0036041A"/>
    <w:rsid w:val="00366370"/>
    <w:rsid w:val="00370887"/>
    <w:rsid w:val="00370BA7"/>
    <w:rsid w:val="003741FA"/>
    <w:rsid w:val="00374B12"/>
    <w:rsid w:val="00384FA9"/>
    <w:rsid w:val="003850B1"/>
    <w:rsid w:val="003923C8"/>
    <w:rsid w:val="00392440"/>
    <w:rsid w:val="003C3BCD"/>
    <w:rsid w:val="003C5067"/>
    <w:rsid w:val="003D2652"/>
    <w:rsid w:val="003D7EE5"/>
    <w:rsid w:val="003E21A3"/>
    <w:rsid w:val="003E548F"/>
    <w:rsid w:val="003E7E58"/>
    <w:rsid w:val="003E7F57"/>
    <w:rsid w:val="003F069D"/>
    <w:rsid w:val="003F1EFC"/>
    <w:rsid w:val="00400733"/>
    <w:rsid w:val="00402CBF"/>
    <w:rsid w:val="00413110"/>
    <w:rsid w:val="00421D9D"/>
    <w:rsid w:val="00423F06"/>
    <w:rsid w:val="00424F84"/>
    <w:rsid w:val="00454EDB"/>
    <w:rsid w:val="00456A3D"/>
    <w:rsid w:val="00456A4F"/>
    <w:rsid w:val="00461EA6"/>
    <w:rsid w:val="00465682"/>
    <w:rsid w:val="00474195"/>
    <w:rsid w:val="00474A3B"/>
    <w:rsid w:val="004819C6"/>
    <w:rsid w:val="00484325"/>
    <w:rsid w:val="00485F19"/>
    <w:rsid w:val="0048614D"/>
    <w:rsid w:val="00490117"/>
    <w:rsid w:val="0049109F"/>
    <w:rsid w:val="00492F97"/>
    <w:rsid w:val="004A7C64"/>
    <w:rsid w:val="004B1135"/>
    <w:rsid w:val="004B310C"/>
    <w:rsid w:val="004B5EE3"/>
    <w:rsid w:val="004B7F3C"/>
    <w:rsid w:val="004C17BA"/>
    <w:rsid w:val="004C59FE"/>
    <w:rsid w:val="004C7216"/>
    <w:rsid w:val="004D24A2"/>
    <w:rsid w:val="004D2DC9"/>
    <w:rsid w:val="004E7FA5"/>
    <w:rsid w:val="004F5DAD"/>
    <w:rsid w:val="0050199B"/>
    <w:rsid w:val="00501FDE"/>
    <w:rsid w:val="00503A84"/>
    <w:rsid w:val="005121A4"/>
    <w:rsid w:val="00515ED1"/>
    <w:rsid w:val="00522424"/>
    <w:rsid w:val="0052335E"/>
    <w:rsid w:val="00525747"/>
    <w:rsid w:val="00536F1D"/>
    <w:rsid w:val="00541100"/>
    <w:rsid w:val="00544412"/>
    <w:rsid w:val="005452B2"/>
    <w:rsid w:val="0054652D"/>
    <w:rsid w:val="005474E2"/>
    <w:rsid w:val="00551B39"/>
    <w:rsid w:val="00552B82"/>
    <w:rsid w:val="005641C2"/>
    <w:rsid w:val="005728F7"/>
    <w:rsid w:val="0057468F"/>
    <w:rsid w:val="005761DC"/>
    <w:rsid w:val="00583056"/>
    <w:rsid w:val="005A1599"/>
    <w:rsid w:val="005A1C16"/>
    <w:rsid w:val="005A2A4E"/>
    <w:rsid w:val="005B44F2"/>
    <w:rsid w:val="005B74B1"/>
    <w:rsid w:val="005C4015"/>
    <w:rsid w:val="005C49D0"/>
    <w:rsid w:val="005D3060"/>
    <w:rsid w:val="005D5858"/>
    <w:rsid w:val="005E292E"/>
    <w:rsid w:val="005E3333"/>
    <w:rsid w:val="005F4180"/>
    <w:rsid w:val="005F684C"/>
    <w:rsid w:val="005F7CFA"/>
    <w:rsid w:val="00600055"/>
    <w:rsid w:val="006008AD"/>
    <w:rsid w:val="006034B9"/>
    <w:rsid w:val="0060560C"/>
    <w:rsid w:val="0061289B"/>
    <w:rsid w:val="00612CA7"/>
    <w:rsid w:val="00616317"/>
    <w:rsid w:val="00620490"/>
    <w:rsid w:val="00626882"/>
    <w:rsid w:val="006270E7"/>
    <w:rsid w:val="006308DC"/>
    <w:rsid w:val="00634BB6"/>
    <w:rsid w:val="00641F42"/>
    <w:rsid w:val="0065146E"/>
    <w:rsid w:val="006661FF"/>
    <w:rsid w:val="00666568"/>
    <w:rsid w:val="00670DAB"/>
    <w:rsid w:val="006824EB"/>
    <w:rsid w:val="006929D0"/>
    <w:rsid w:val="006933B8"/>
    <w:rsid w:val="006A0119"/>
    <w:rsid w:val="006A0949"/>
    <w:rsid w:val="006A2939"/>
    <w:rsid w:val="006A655D"/>
    <w:rsid w:val="006C185F"/>
    <w:rsid w:val="006C23B3"/>
    <w:rsid w:val="006C3157"/>
    <w:rsid w:val="006C322B"/>
    <w:rsid w:val="006C4887"/>
    <w:rsid w:val="006C5C3F"/>
    <w:rsid w:val="006C7444"/>
    <w:rsid w:val="006D1BE0"/>
    <w:rsid w:val="006D331D"/>
    <w:rsid w:val="006D3FBC"/>
    <w:rsid w:val="006E3DB2"/>
    <w:rsid w:val="006F23DA"/>
    <w:rsid w:val="006F7DA4"/>
    <w:rsid w:val="007006E6"/>
    <w:rsid w:val="00703066"/>
    <w:rsid w:val="00703C1F"/>
    <w:rsid w:val="007072F2"/>
    <w:rsid w:val="007104DA"/>
    <w:rsid w:val="00711FF7"/>
    <w:rsid w:val="0071633C"/>
    <w:rsid w:val="007274FF"/>
    <w:rsid w:val="00735751"/>
    <w:rsid w:val="0074241D"/>
    <w:rsid w:val="007427FE"/>
    <w:rsid w:val="00751AA4"/>
    <w:rsid w:val="007652AC"/>
    <w:rsid w:val="00767A7D"/>
    <w:rsid w:val="007732DE"/>
    <w:rsid w:val="00775F6F"/>
    <w:rsid w:val="0078011B"/>
    <w:rsid w:val="00785713"/>
    <w:rsid w:val="007859C7"/>
    <w:rsid w:val="007901AE"/>
    <w:rsid w:val="0079020D"/>
    <w:rsid w:val="0079576C"/>
    <w:rsid w:val="007A1B03"/>
    <w:rsid w:val="007A1E3D"/>
    <w:rsid w:val="007A4052"/>
    <w:rsid w:val="007A7F2E"/>
    <w:rsid w:val="007B02CF"/>
    <w:rsid w:val="007B285D"/>
    <w:rsid w:val="007B3A4A"/>
    <w:rsid w:val="007C40B7"/>
    <w:rsid w:val="007D0512"/>
    <w:rsid w:val="007D0E7F"/>
    <w:rsid w:val="007D2EDC"/>
    <w:rsid w:val="007E32A9"/>
    <w:rsid w:val="008060C9"/>
    <w:rsid w:val="00810B29"/>
    <w:rsid w:val="008130A4"/>
    <w:rsid w:val="008206B3"/>
    <w:rsid w:val="008213B6"/>
    <w:rsid w:val="0083486B"/>
    <w:rsid w:val="00840DF4"/>
    <w:rsid w:val="00851060"/>
    <w:rsid w:val="00865E02"/>
    <w:rsid w:val="008720A4"/>
    <w:rsid w:val="00887C7D"/>
    <w:rsid w:val="00893672"/>
    <w:rsid w:val="008977A9"/>
    <w:rsid w:val="008A29DA"/>
    <w:rsid w:val="008B0583"/>
    <w:rsid w:val="008B73E5"/>
    <w:rsid w:val="008B74DB"/>
    <w:rsid w:val="008B79B0"/>
    <w:rsid w:val="008C0544"/>
    <w:rsid w:val="008C5D26"/>
    <w:rsid w:val="008D0495"/>
    <w:rsid w:val="008D2821"/>
    <w:rsid w:val="008E16A2"/>
    <w:rsid w:val="008E6379"/>
    <w:rsid w:val="008F04A0"/>
    <w:rsid w:val="008F36CF"/>
    <w:rsid w:val="008F3AF9"/>
    <w:rsid w:val="0090633B"/>
    <w:rsid w:val="00913ED2"/>
    <w:rsid w:val="009170F2"/>
    <w:rsid w:val="00917711"/>
    <w:rsid w:val="009223EB"/>
    <w:rsid w:val="0092373F"/>
    <w:rsid w:val="00926627"/>
    <w:rsid w:val="00933319"/>
    <w:rsid w:val="0093411E"/>
    <w:rsid w:val="00935D5C"/>
    <w:rsid w:val="0093789D"/>
    <w:rsid w:val="00940D95"/>
    <w:rsid w:val="00956109"/>
    <w:rsid w:val="00967848"/>
    <w:rsid w:val="009719D0"/>
    <w:rsid w:val="00971D4B"/>
    <w:rsid w:val="00976E77"/>
    <w:rsid w:val="009778BC"/>
    <w:rsid w:val="009827E7"/>
    <w:rsid w:val="00983BF3"/>
    <w:rsid w:val="00984228"/>
    <w:rsid w:val="009844B6"/>
    <w:rsid w:val="00984F83"/>
    <w:rsid w:val="009950FA"/>
    <w:rsid w:val="009A15B8"/>
    <w:rsid w:val="009A4521"/>
    <w:rsid w:val="009A4D5A"/>
    <w:rsid w:val="009B22E5"/>
    <w:rsid w:val="009D277B"/>
    <w:rsid w:val="009E1F03"/>
    <w:rsid w:val="009E642A"/>
    <w:rsid w:val="009E7A39"/>
    <w:rsid w:val="009F1F46"/>
    <w:rsid w:val="009F6F58"/>
    <w:rsid w:val="00A00242"/>
    <w:rsid w:val="00A014EF"/>
    <w:rsid w:val="00A04819"/>
    <w:rsid w:val="00A11699"/>
    <w:rsid w:val="00A16D58"/>
    <w:rsid w:val="00A23813"/>
    <w:rsid w:val="00A34739"/>
    <w:rsid w:val="00A41292"/>
    <w:rsid w:val="00A42537"/>
    <w:rsid w:val="00A43143"/>
    <w:rsid w:val="00A46AC7"/>
    <w:rsid w:val="00A50258"/>
    <w:rsid w:val="00A55EE9"/>
    <w:rsid w:val="00A56483"/>
    <w:rsid w:val="00A63B93"/>
    <w:rsid w:val="00A70A6B"/>
    <w:rsid w:val="00A76D5D"/>
    <w:rsid w:val="00A86189"/>
    <w:rsid w:val="00A959C1"/>
    <w:rsid w:val="00A977E1"/>
    <w:rsid w:val="00A97E22"/>
    <w:rsid w:val="00AA06D3"/>
    <w:rsid w:val="00AA19E6"/>
    <w:rsid w:val="00AA5587"/>
    <w:rsid w:val="00AA5CB5"/>
    <w:rsid w:val="00AA72FA"/>
    <w:rsid w:val="00AB3092"/>
    <w:rsid w:val="00AB4856"/>
    <w:rsid w:val="00AB5C96"/>
    <w:rsid w:val="00AC1F3E"/>
    <w:rsid w:val="00AC35E0"/>
    <w:rsid w:val="00AC6997"/>
    <w:rsid w:val="00AD1DB5"/>
    <w:rsid w:val="00AD4376"/>
    <w:rsid w:val="00AE0334"/>
    <w:rsid w:val="00AE14F8"/>
    <w:rsid w:val="00AE40FD"/>
    <w:rsid w:val="00AE43ED"/>
    <w:rsid w:val="00AE6893"/>
    <w:rsid w:val="00AE73D6"/>
    <w:rsid w:val="00AE79D3"/>
    <w:rsid w:val="00AF1A6F"/>
    <w:rsid w:val="00AF3EA6"/>
    <w:rsid w:val="00AF545C"/>
    <w:rsid w:val="00AF7E91"/>
    <w:rsid w:val="00B00CE0"/>
    <w:rsid w:val="00B01D70"/>
    <w:rsid w:val="00B0414F"/>
    <w:rsid w:val="00B04BC4"/>
    <w:rsid w:val="00B0521C"/>
    <w:rsid w:val="00B05402"/>
    <w:rsid w:val="00B132F6"/>
    <w:rsid w:val="00B16A7D"/>
    <w:rsid w:val="00B225DE"/>
    <w:rsid w:val="00B22F30"/>
    <w:rsid w:val="00B2349F"/>
    <w:rsid w:val="00B246D7"/>
    <w:rsid w:val="00B25561"/>
    <w:rsid w:val="00B31982"/>
    <w:rsid w:val="00B34A29"/>
    <w:rsid w:val="00B36BBA"/>
    <w:rsid w:val="00B41FC4"/>
    <w:rsid w:val="00B442E3"/>
    <w:rsid w:val="00B54007"/>
    <w:rsid w:val="00B54C20"/>
    <w:rsid w:val="00B57AD4"/>
    <w:rsid w:val="00B57E58"/>
    <w:rsid w:val="00B639D0"/>
    <w:rsid w:val="00B658EC"/>
    <w:rsid w:val="00B660A5"/>
    <w:rsid w:val="00B705E5"/>
    <w:rsid w:val="00B72D75"/>
    <w:rsid w:val="00B74A4C"/>
    <w:rsid w:val="00B75D79"/>
    <w:rsid w:val="00B81D75"/>
    <w:rsid w:val="00B83D18"/>
    <w:rsid w:val="00B85E05"/>
    <w:rsid w:val="00B9075D"/>
    <w:rsid w:val="00B959DF"/>
    <w:rsid w:val="00BA0D5D"/>
    <w:rsid w:val="00BA2341"/>
    <w:rsid w:val="00BA3B1A"/>
    <w:rsid w:val="00BA6945"/>
    <w:rsid w:val="00BA6CFC"/>
    <w:rsid w:val="00BB061D"/>
    <w:rsid w:val="00BB601D"/>
    <w:rsid w:val="00BB77B4"/>
    <w:rsid w:val="00BC1526"/>
    <w:rsid w:val="00BC374F"/>
    <w:rsid w:val="00BD351E"/>
    <w:rsid w:val="00BE0C71"/>
    <w:rsid w:val="00BE16D3"/>
    <w:rsid w:val="00BF169C"/>
    <w:rsid w:val="00BF5237"/>
    <w:rsid w:val="00C04D99"/>
    <w:rsid w:val="00C051AF"/>
    <w:rsid w:val="00C05B3F"/>
    <w:rsid w:val="00C114CE"/>
    <w:rsid w:val="00C1399D"/>
    <w:rsid w:val="00C2024F"/>
    <w:rsid w:val="00C30FD9"/>
    <w:rsid w:val="00C32D1A"/>
    <w:rsid w:val="00C375C2"/>
    <w:rsid w:val="00C37F64"/>
    <w:rsid w:val="00C4196F"/>
    <w:rsid w:val="00C4459C"/>
    <w:rsid w:val="00C46078"/>
    <w:rsid w:val="00C62BA0"/>
    <w:rsid w:val="00C779B8"/>
    <w:rsid w:val="00C8091B"/>
    <w:rsid w:val="00C809CD"/>
    <w:rsid w:val="00C86AB9"/>
    <w:rsid w:val="00C90D17"/>
    <w:rsid w:val="00C931DF"/>
    <w:rsid w:val="00C932E5"/>
    <w:rsid w:val="00C96EEE"/>
    <w:rsid w:val="00CA174A"/>
    <w:rsid w:val="00CA399C"/>
    <w:rsid w:val="00CB0399"/>
    <w:rsid w:val="00CC178D"/>
    <w:rsid w:val="00CC19B5"/>
    <w:rsid w:val="00CC4641"/>
    <w:rsid w:val="00CC4FAB"/>
    <w:rsid w:val="00CC705F"/>
    <w:rsid w:val="00CD01BB"/>
    <w:rsid w:val="00CE15DB"/>
    <w:rsid w:val="00CE43A2"/>
    <w:rsid w:val="00CE4F00"/>
    <w:rsid w:val="00CF116D"/>
    <w:rsid w:val="00CF23F2"/>
    <w:rsid w:val="00CF479D"/>
    <w:rsid w:val="00CF73D8"/>
    <w:rsid w:val="00CF7F99"/>
    <w:rsid w:val="00D03EDA"/>
    <w:rsid w:val="00D1101B"/>
    <w:rsid w:val="00D12953"/>
    <w:rsid w:val="00D25162"/>
    <w:rsid w:val="00D337D4"/>
    <w:rsid w:val="00D36509"/>
    <w:rsid w:val="00D4147E"/>
    <w:rsid w:val="00D42F65"/>
    <w:rsid w:val="00D46A52"/>
    <w:rsid w:val="00D509EC"/>
    <w:rsid w:val="00D614BC"/>
    <w:rsid w:val="00D61DFA"/>
    <w:rsid w:val="00D67A16"/>
    <w:rsid w:val="00D76FAE"/>
    <w:rsid w:val="00D83743"/>
    <w:rsid w:val="00D87AC7"/>
    <w:rsid w:val="00D95CAC"/>
    <w:rsid w:val="00DA51FA"/>
    <w:rsid w:val="00DA5F7F"/>
    <w:rsid w:val="00DA6096"/>
    <w:rsid w:val="00DA7D09"/>
    <w:rsid w:val="00DB021A"/>
    <w:rsid w:val="00DB0D73"/>
    <w:rsid w:val="00DB263C"/>
    <w:rsid w:val="00DB35F7"/>
    <w:rsid w:val="00DB5191"/>
    <w:rsid w:val="00DB69C5"/>
    <w:rsid w:val="00DC05AD"/>
    <w:rsid w:val="00DC5174"/>
    <w:rsid w:val="00DC5A16"/>
    <w:rsid w:val="00DD799E"/>
    <w:rsid w:val="00DE0DA7"/>
    <w:rsid w:val="00DF0C60"/>
    <w:rsid w:val="00DF299F"/>
    <w:rsid w:val="00DF453C"/>
    <w:rsid w:val="00DF7EEB"/>
    <w:rsid w:val="00E0777A"/>
    <w:rsid w:val="00E07BD0"/>
    <w:rsid w:val="00E13536"/>
    <w:rsid w:val="00E13C53"/>
    <w:rsid w:val="00E235D2"/>
    <w:rsid w:val="00E24B2D"/>
    <w:rsid w:val="00E2590D"/>
    <w:rsid w:val="00E3385A"/>
    <w:rsid w:val="00E40524"/>
    <w:rsid w:val="00E4201E"/>
    <w:rsid w:val="00E51894"/>
    <w:rsid w:val="00E52EFE"/>
    <w:rsid w:val="00E538E4"/>
    <w:rsid w:val="00E5418D"/>
    <w:rsid w:val="00E76811"/>
    <w:rsid w:val="00E81117"/>
    <w:rsid w:val="00E84490"/>
    <w:rsid w:val="00E86DEB"/>
    <w:rsid w:val="00E90CD8"/>
    <w:rsid w:val="00E92CB1"/>
    <w:rsid w:val="00E9712E"/>
    <w:rsid w:val="00EA39CD"/>
    <w:rsid w:val="00EA5A13"/>
    <w:rsid w:val="00EA6A59"/>
    <w:rsid w:val="00EA6B08"/>
    <w:rsid w:val="00EB097B"/>
    <w:rsid w:val="00EB3560"/>
    <w:rsid w:val="00EC091B"/>
    <w:rsid w:val="00EC587E"/>
    <w:rsid w:val="00ED2C95"/>
    <w:rsid w:val="00ED6167"/>
    <w:rsid w:val="00ED79A1"/>
    <w:rsid w:val="00EE0EBC"/>
    <w:rsid w:val="00EE2CA6"/>
    <w:rsid w:val="00EE3809"/>
    <w:rsid w:val="00EE4B09"/>
    <w:rsid w:val="00EE5629"/>
    <w:rsid w:val="00EF16E4"/>
    <w:rsid w:val="00EF6124"/>
    <w:rsid w:val="00F00415"/>
    <w:rsid w:val="00F02C7C"/>
    <w:rsid w:val="00F02F6E"/>
    <w:rsid w:val="00F13AAC"/>
    <w:rsid w:val="00F15C03"/>
    <w:rsid w:val="00F317D6"/>
    <w:rsid w:val="00F360B0"/>
    <w:rsid w:val="00F416A4"/>
    <w:rsid w:val="00F42444"/>
    <w:rsid w:val="00F516A4"/>
    <w:rsid w:val="00F53400"/>
    <w:rsid w:val="00F61A67"/>
    <w:rsid w:val="00F62E1B"/>
    <w:rsid w:val="00F74043"/>
    <w:rsid w:val="00F75CAD"/>
    <w:rsid w:val="00F76174"/>
    <w:rsid w:val="00F77EA5"/>
    <w:rsid w:val="00F85E46"/>
    <w:rsid w:val="00FA0910"/>
    <w:rsid w:val="00FB2579"/>
    <w:rsid w:val="00FB4989"/>
    <w:rsid w:val="00FB622D"/>
    <w:rsid w:val="00FC5315"/>
    <w:rsid w:val="00FC7FB1"/>
    <w:rsid w:val="00FD003C"/>
    <w:rsid w:val="00FD2A25"/>
    <w:rsid w:val="00FD44C7"/>
    <w:rsid w:val="00FD5610"/>
    <w:rsid w:val="00FE2375"/>
    <w:rsid w:val="00FE28B0"/>
    <w:rsid w:val="00FE4AC4"/>
    <w:rsid w:val="00FE5F5A"/>
    <w:rsid w:val="00FF42B2"/>
    <w:rsid w:val="00FF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25CDCE"/>
  <w15:docId w15:val="{C02F12DE-7AB1-46FC-B63C-04A1704D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paragraph" w:styleId="Heading1">
    <w:name w:val="heading 1"/>
    <w:basedOn w:val="Normal"/>
    <w:next w:val="Normal"/>
    <w:qFormat/>
    <w:pPr>
      <w:keepNext/>
      <w:outlineLvl w:val="0"/>
    </w:pPr>
    <w:rPr>
      <w:rFonts w:ascii="Goudy Stout" w:hAnsi="Goudy Stout"/>
      <w:b/>
      <w:sz w:val="36"/>
    </w:rPr>
  </w:style>
  <w:style w:type="paragraph" w:styleId="Heading2">
    <w:name w:val="heading 2"/>
    <w:basedOn w:val="Normal"/>
    <w:next w:val="Normal"/>
    <w:qFormat/>
    <w:pPr>
      <w:keepNext/>
      <w:outlineLvl w:val="1"/>
    </w:pPr>
    <w:rPr>
      <w:rFonts w:ascii="Georgia" w:hAnsi="Georgia"/>
      <w:b/>
    </w:rPr>
  </w:style>
  <w:style w:type="paragraph" w:styleId="Heading3">
    <w:name w:val="heading 3"/>
    <w:basedOn w:val="Normal"/>
    <w:next w:val="Normal"/>
    <w:link w:val="Heading3Char"/>
    <w:qFormat/>
    <w:pPr>
      <w:keepNext/>
      <w:overflowPunct w:val="0"/>
      <w:autoSpaceDE w:val="0"/>
      <w:autoSpaceDN w:val="0"/>
      <w:adjustRightInd w:val="0"/>
      <w:jc w:val="center"/>
      <w:outlineLvl w:val="2"/>
    </w:pPr>
    <w:rPr>
      <w:b/>
      <w:color w:val="000000"/>
      <w:sz w:val="36"/>
      <w:u w:val="single"/>
    </w:rPr>
  </w:style>
  <w:style w:type="paragraph" w:styleId="Heading4">
    <w:name w:val="heading 4"/>
    <w:basedOn w:val="Normal"/>
    <w:next w:val="Normal"/>
    <w:qFormat/>
    <w:pPr>
      <w:keepNext/>
      <w:overflowPunct w:val="0"/>
      <w:autoSpaceDE w:val="0"/>
      <w:autoSpaceDN w:val="0"/>
      <w:adjustRightInd w:val="0"/>
      <w:outlineLvl w:val="3"/>
    </w:pPr>
    <w:rPr>
      <w:b/>
      <w:color w:val="000000"/>
      <w:sz w:val="22"/>
      <w:szCs w:val="20"/>
    </w:rPr>
  </w:style>
  <w:style w:type="paragraph" w:styleId="Heading5">
    <w:name w:val="heading 5"/>
    <w:basedOn w:val="Normal"/>
    <w:next w:val="Normal"/>
    <w:qFormat/>
    <w:pPr>
      <w:keepNext/>
      <w:overflowPunct w:val="0"/>
      <w:autoSpaceDE w:val="0"/>
      <w:autoSpaceDN w:val="0"/>
      <w:adjustRightInd w:val="0"/>
      <w:jc w:val="center"/>
      <w:outlineLvl w:val="4"/>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lang w:eastAsia="en-US"/>
    </w:rPr>
  </w:style>
  <w:style w:type="paragraph" w:styleId="BodyTextIndent">
    <w:name w:val="Body Text Indent"/>
    <w:basedOn w:val="Normal"/>
    <w:pPr>
      <w:overflowPunct w:val="0"/>
      <w:autoSpaceDE w:val="0"/>
      <w:autoSpaceDN w:val="0"/>
      <w:adjustRightInd w:val="0"/>
      <w:ind w:left="720" w:hanging="720"/>
      <w:jc w:val="both"/>
    </w:pPr>
    <w:rPr>
      <w:color w:val="000000"/>
      <w:lang w:eastAsia="en-US"/>
    </w:rPr>
  </w:style>
  <w:style w:type="paragraph" w:styleId="BodyTextIndent2">
    <w:name w:val="Body Text Indent 2"/>
    <w:basedOn w:val="Normal"/>
    <w:pPr>
      <w:suppressLineNumbers/>
      <w:ind w:left="2160" w:hanging="720"/>
      <w:jc w:val="both"/>
    </w:pPr>
    <w:rPr>
      <w:i/>
      <w:iCs/>
      <w:lang w:eastAsia="en-US"/>
    </w:rPr>
  </w:style>
  <w:style w:type="paragraph" w:styleId="BodyTextIndent3">
    <w:name w:val="Body Text Indent 3"/>
    <w:basedOn w:val="Normal"/>
    <w:pPr>
      <w:overflowPunct w:val="0"/>
      <w:autoSpaceDE w:val="0"/>
      <w:autoSpaceDN w:val="0"/>
      <w:adjustRightInd w:val="0"/>
      <w:ind w:left="720"/>
      <w:jc w:val="both"/>
    </w:pPr>
    <w:rPr>
      <w:color w:val="000000"/>
      <w:szCs w:val="20"/>
      <w:lang w:eastAsia="en-US"/>
    </w:rPr>
  </w:style>
  <w:style w:type="paragraph" w:styleId="BlockText">
    <w:name w:val="Block Text"/>
    <w:basedOn w:val="Normal"/>
    <w:pPr>
      <w:overflowPunct w:val="0"/>
      <w:autoSpaceDE w:val="0"/>
      <w:autoSpaceDN w:val="0"/>
      <w:adjustRightInd w:val="0"/>
      <w:ind w:left="1440" w:right="324" w:hanging="1278"/>
    </w:pPr>
    <w:rPr>
      <w:sz w:val="20"/>
      <w:szCs w:val="20"/>
      <w:lang w:eastAsia="en-US"/>
    </w:rPr>
  </w:style>
  <w:style w:type="paragraph" w:styleId="Footer">
    <w:name w:val="footer"/>
    <w:basedOn w:val="Normal"/>
    <w:pPr>
      <w:tabs>
        <w:tab w:val="center" w:pos="4320"/>
        <w:tab w:val="right" w:pos="8640"/>
      </w:tabs>
    </w:pPr>
    <w:rPr>
      <w:lang w:eastAsia="en-US"/>
    </w:rPr>
  </w:style>
  <w:style w:type="paragraph" w:styleId="NormalWeb">
    <w:name w:val="Normal (Web)"/>
    <w:basedOn w:val="Normal"/>
    <w:pPr>
      <w:spacing w:before="100" w:beforeAutospacing="1" w:after="100" w:afterAutospacing="1"/>
    </w:pPr>
    <w:rPr>
      <w:lang w:eastAsia="en-US"/>
    </w:rPr>
  </w:style>
  <w:style w:type="paragraph" w:styleId="CommentText">
    <w:name w:val="annotation text"/>
    <w:basedOn w:val="Normal"/>
    <w:semiHidden/>
    <w:rPr>
      <w:sz w:val="20"/>
      <w:szCs w:val="20"/>
      <w:lang w:eastAsia="en-US"/>
    </w:rPr>
  </w:style>
  <w:style w:type="paragraph" w:customStyle="1" w:styleId="p58">
    <w:name w:val="p58"/>
    <w:basedOn w:val="Normal"/>
    <w:pPr>
      <w:widowControl w:val="0"/>
      <w:tabs>
        <w:tab w:val="left" w:pos="1140"/>
      </w:tabs>
      <w:ind w:left="288" w:hanging="432"/>
    </w:pPr>
    <w:rPr>
      <w:szCs w:val="20"/>
      <w:lang w:eastAsia="en-US"/>
    </w:rPr>
  </w:style>
  <w:style w:type="paragraph" w:styleId="BodyText">
    <w:name w:val="Body Text"/>
    <w:basedOn w:val="Normal"/>
    <w:pPr>
      <w:suppressLineNumbers/>
      <w:jc w:val="both"/>
    </w:pPr>
    <w:rPr>
      <w:szCs w:val="20"/>
      <w:lang w:eastAsia="en-US"/>
    </w:rPr>
  </w:style>
  <w:style w:type="paragraph" w:styleId="BodyText2">
    <w:name w:val="Body Text 2"/>
    <w:basedOn w:val="Normal"/>
    <w:pPr>
      <w:suppressLineNumbers/>
      <w:ind w:left="2160" w:hanging="720"/>
      <w:jc w:val="both"/>
    </w:pPr>
    <w:rPr>
      <w:szCs w:val="20"/>
      <w:lang w:eastAsia="en-US"/>
    </w:rPr>
  </w:style>
  <w:style w:type="paragraph" w:styleId="BalloonText">
    <w:name w:val="Balloon Text"/>
    <w:basedOn w:val="Normal"/>
    <w:semiHidden/>
    <w:rsid w:val="002672F8"/>
    <w:rPr>
      <w:rFonts w:ascii="Tahoma" w:hAnsi="Tahoma" w:cs="Tahoma"/>
      <w:sz w:val="16"/>
      <w:szCs w:val="16"/>
    </w:rPr>
  </w:style>
  <w:style w:type="character" w:customStyle="1" w:styleId="Heading3Char">
    <w:name w:val="Heading 3 Char"/>
    <w:basedOn w:val="DefaultParagraphFont"/>
    <w:link w:val="Heading3"/>
    <w:rsid w:val="005B74B1"/>
    <w:rPr>
      <w:b/>
      <w:color w:val="000000"/>
      <w:sz w:val="36"/>
      <w:szCs w:val="24"/>
      <w:u w:val="single"/>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8082">
      <w:bodyDiv w:val="1"/>
      <w:marLeft w:val="0"/>
      <w:marRight w:val="0"/>
      <w:marTop w:val="0"/>
      <w:marBottom w:val="0"/>
      <w:divBdr>
        <w:top w:val="none" w:sz="0" w:space="0" w:color="auto"/>
        <w:left w:val="none" w:sz="0" w:space="0" w:color="auto"/>
        <w:bottom w:val="none" w:sz="0" w:space="0" w:color="auto"/>
        <w:right w:val="none" w:sz="0" w:space="0" w:color="auto"/>
      </w:divBdr>
    </w:div>
    <w:div w:id="956332223">
      <w:bodyDiv w:val="1"/>
      <w:marLeft w:val="0"/>
      <w:marRight w:val="0"/>
      <w:marTop w:val="0"/>
      <w:marBottom w:val="0"/>
      <w:divBdr>
        <w:top w:val="none" w:sz="0" w:space="0" w:color="auto"/>
        <w:left w:val="none" w:sz="0" w:space="0" w:color="auto"/>
        <w:bottom w:val="none" w:sz="0" w:space="0" w:color="auto"/>
        <w:right w:val="none" w:sz="0" w:space="0" w:color="auto"/>
      </w:divBdr>
    </w:div>
    <w:div w:id="1489053172">
      <w:bodyDiv w:val="1"/>
      <w:marLeft w:val="0"/>
      <w:marRight w:val="0"/>
      <w:marTop w:val="0"/>
      <w:marBottom w:val="0"/>
      <w:divBdr>
        <w:top w:val="none" w:sz="0" w:space="0" w:color="auto"/>
        <w:left w:val="none" w:sz="0" w:space="0" w:color="auto"/>
        <w:bottom w:val="none" w:sz="0" w:space="0" w:color="auto"/>
        <w:right w:val="none" w:sz="0" w:space="0" w:color="auto"/>
      </w:divBdr>
    </w:div>
    <w:div w:id="160314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chrisb\Application%20Data\Microsoft\Templates\CDD%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EE0EC-644E-4612-AC31-942AAB1F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CDD LETTER HEAD</Template>
  <TotalTime>515</TotalTime>
  <Pages>9</Pages>
  <Words>2629</Words>
  <Characters>14407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JEFFERSON COUNTY CDD</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ChrisB</dc:creator>
  <cp:lastModifiedBy>Scott Edelman</cp:lastModifiedBy>
  <cp:revision>28</cp:revision>
  <cp:lastPrinted>2021-01-07T17:36:00Z</cp:lastPrinted>
  <dcterms:created xsi:type="dcterms:W3CDTF">2022-04-06T14:44:00Z</dcterms:created>
  <dcterms:modified xsi:type="dcterms:W3CDTF">2022-04-07T16:28:00Z</dcterms:modified>
</cp:coreProperties>
</file>